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rPr>
      </w:pPr>
      <w:r>
        <w:rPr>
          <w:rFonts w:hint="eastAsia" w:ascii="黑体" w:hAnsi="黑体" w:eastAsia="黑体" w:cs="宋体"/>
          <w:color w:val="333333"/>
          <w:sz w:val="32"/>
          <w:szCs w:val="32"/>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bookmarkStart w:id="33" w:name="_GoBack"/>
      <w:bookmarkEnd w:id="33"/>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伊犁州特克斯县</w:t>
      </w:r>
      <w:r>
        <w:rPr>
          <w:rFonts w:hint="eastAsia" w:ascii="方正小标宋_GBK" w:hAnsi="华文中宋" w:eastAsia="方正小标宋_GBK" w:cs="宋体"/>
          <w:b/>
          <w:kern w:val="0"/>
          <w:sz w:val="48"/>
          <w:szCs w:val="48"/>
          <w:lang w:eastAsia="zh-CN"/>
        </w:rPr>
        <w:t>**</w:t>
      </w:r>
      <w:r>
        <w:rPr>
          <w:rFonts w:hint="eastAsia" w:ascii="方正小标宋_GBK" w:hAnsi="华文中宋" w:eastAsia="方正小标宋_GBK" w:cs="宋体"/>
          <w:b/>
          <w:kern w:val="0"/>
          <w:sz w:val="48"/>
          <w:szCs w:val="48"/>
        </w:rPr>
        <w:t>管理局部门单位整体支出绩效自评报告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Ansi="宋体" w:eastAsia="仿宋_GB2312" w:cs="宋体"/>
          <w:kern w:val="0"/>
          <w:sz w:val="36"/>
          <w:szCs w:val="36"/>
          <w:highlight w:val="none"/>
        </w:rPr>
      </w:pPr>
      <w:r>
        <w:rPr>
          <w:rFonts w:hint="eastAsia" w:hAnsi="宋体" w:eastAsia="仿宋_GB2312" w:cs="宋体"/>
          <w:kern w:val="0"/>
          <w:sz w:val="36"/>
          <w:szCs w:val="36"/>
          <w:highlight w:val="none"/>
        </w:rPr>
        <w:t>部门单位名称（公章）：特克斯县</w:t>
      </w:r>
      <w:r>
        <w:rPr>
          <w:rFonts w:hint="eastAsia" w:hAnsi="宋体" w:eastAsia="仿宋_GB2312" w:cs="宋体"/>
          <w:kern w:val="0"/>
          <w:sz w:val="36"/>
          <w:szCs w:val="36"/>
          <w:highlight w:val="none"/>
          <w:lang w:eastAsia="zh-CN"/>
        </w:rPr>
        <w:t>**</w:t>
      </w:r>
      <w:r>
        <w:rPr>
          <w:rFonts w:hint="eastAsia" w:hAnsi="宋体" w:eastAsia="仿宋_GB2312" w:cs="宋体"/>
          <w:kern w:val="0"/>
          <w:sz w:val="36"/>
          <w:szCs w:val="36"/>
          <w:highlight w:val="none"/>
        </w:rPr>
        <w:t>管理局</w:t>
      </w:r>
    </w:p>
    <w:p>
      <w:pPr>
        <w:spacing w:line="700" w:lineRule="exact"/>
        <w:ind w:firstLine="849" w:firstLineChars="236"/>
        <w:jc w:val="left"/>
        <w:rPr>
          <w:rFonts w:hAnsi="宋体" w:eastAsia="仿宋_GB2312" w:cs="宋体"/>
          <w:kern w:val="0"/>
          <w:sz w:val="36"/>
          <w:szCs w:val="36"/>
          <w:highlight w:val="none"/>
        </w:rPr>
      </w:pPr>
      <w:r>
        <w:rPr>
          <w:rFonts w:hint="eastAsia" w:hAnsi="宋体" w:eastAsia="仿宋_GB2312" w:cs="宋体"/>
          <w:kern w:val="0"/>
          <w:sz w:val="36"/>
          <w:szCs w:val="36"/>
          <w:highlight w:val="none"/>
        </w:rPr>
        <w:t>填报时间：</w:t>
      </w:r>
      <w:r>
        <w:rPr>
          <w:rFonts w:hAnsi="宋体" w:eastAsia="仿宋_GB2312" w:cs="宋体"/>
          <w:kern w:val="0"/>
          <w:sz w:val="36"/>
          <w:szCs w:val="36"/>
          <w:highlight w:val="none"/>
        </w:rPr>
        <w:t>2022</w:t>
      </w:r>
      <w:r>
        <w:rPr>
          <w:rFonts w:hint="eastAsia" w:hAnsi="宋体" w:eastAsia="仿宋_GB2312" w:cs="宋体"/>
          <w:kern w:val="0"/>
          <w:sz w:val="36"/>
          <w:szCs w:val="36"/>
          <w:highlight w:val="none"/>
        </w:rPr>
        <w:t xml:space="preserve"> 年 4 月 28日</w:t>
      </w:r>
    </w:p>
    <w:p>
      <w:pPr>
        <w:pStyle w:val="3"/>
        <w:spacing w:line="360" w:lineRule="auto"/>
        <w:rPr>
          <w:rFonts w:ascii="仿宋" w:hAnsi="仿宋" w:eastAsia="仿宋"/>
          <w:sz w:val="36"/>
          <w:szCs w:val="36"/>
        </w:rPr>
      </w:pPr>
      <w:bookmarkStart w:id="1" w:name="_Toc70450289"/>
      <w:r>
        <w:rPr>
          <w:rFonts w:hint="eastAsia" w:ascii="仿宋" w:hAnsi="仿宋" w:eastAsia="仿宋"/>
          <w:sz w:val="36"/>
          <w:szCs w:val="36"/>
        </w:rPr>
        <w:t>一、基本概况</w:t>
      </w:r>
      <w:bookmarkEnd w:id="1"/>
    </w:p>
    <w:p>
      <w:pPr>
        <w:pStyle w:val="4"/>
        <w:spacing w:line="360" w:lineRule="auto"/>
        <w:rPr>
          <w:rStyle w:val="16"/>
          <w:rFonts w:ascii="仿宋" w:hAnsi="仿宋" w:eastAsia="仿宋"/>
          <w:b/>
          <w:bCs/>
        </w:rPr>
      </w:pPr>
      <w:bookmarkStart w:id="2" w:name="_Toc70450290"/>
      <w:r>
        <w:rPr>
          <w:rStyle w:val="16"/>
          <w:rFonts w:hint="eastAsia" w:ascii="仿宋" w:hAnsi="仿宋" w:eastAsia="仿宋"/>
          <w:b/>
          <w:bCs/>
        </w:rPr>
        <w:t>（一）部门单位基本情况</w:t>
      </w:r>
      <w:bookmarkEnd w:id="2"/>
    </w:p>
    <w:p>
      <w:pPr>
        <w:pStyle w:val="5"/>
        <w:spacing w:line="360" w:lineRule="auto"/>
        <w:ind w:firstLine="562" w:firstLineChars="200"/>
        <w:rPr>
          <w:rStyle w:val="16"/>
          <w:rFonts w:ascii="仿宋" w:hAnsi="仿宋" w:eastAsia="仿宋"/>
          <w:b/>
          <w:bCs/>
        </w:rPr>
      </w:pPr>
      <w:bookmarkStart w:id="3" w:name="_Toc70450291"/>
      <w:r>
        <w:rPr>
          <w:rStyle w:val="16"/>
          <w:rFonts w:ascii="仿宋" w:hAnsi="仿宋" w:eastAsia="仿宋"/>
          <w:b/>
          <w:bCs/>
        </w:rPr>
        <w:t>1</w:t>
      </w:r>
      <w:r>
        <w:rPr>
          <w:rStyle w:val="16"/>
          <w:rFonts w:hint="eastAsia" w:ascii="仿宋" w:hAnsi="仿宋" w:eastAsia="仿宋"/>
          <w:b/>
          <w:bCs/>
        </w:rPr>
        <w:t>、主要职能</w:t>
      </w:r>
      <w:bookmarkEnd w:id="3"/>
    </w:p>
    <w:p>
      <w:pPr>
        <w:spacing w:line="360" w:lineRule="auto"/>
        <w:ind w:firstLine="546" w:firstLineChars="200"/>
        <w:rPr>
          <w:rStyle w:val="16"/>
          <w:rFonts w:ascii="仿宋_GB2312" w:hAnsi="楷体" w:eastAsia="仿宋_GB2312" w:cs="Times New Roman"/>
          <w:b w:val="0"/>
          <w:spacing w:val="-4"/>
          <w:sz w:val="28"/>
          <w:szCs w:val="28"/>
        </w:rPr>
      </w:pPr>
      <w:r>
        <w:rPr>
          <w:rStyle w:val="16"/>
          <w:rFonts w:hint="eastAsia" w:asciiTheme="minorEastAsia" w:hAnsiTheme="minorEastAsia"/>
          <w:bCs w:val="0"/>
          <w:color w:val="FF0000"/>
          <w:spacing w:val="-4"/>
          <w:sz w:val="28"/>
          <w:szCs w:val="28"/>
        </w:rPr>
        <w:t xml:space="preserve"> </w:t>
      </w:r>
      <w:r>
        <w:rPr>
          <w:rStyle w:val="16"/>
          <w:rFonts w:asciiTheme="minorEastAsia" w:hAnsiTheme="minorEastAsia"/>
          <w:bCs w:val="0"/>
          <w:color w:val="FF0000"/>
          <w:spacing w:val="-4"/>
          <w:sz w:val="28"/>
          <w:szCs w:val="28"/>
        </w:rPr>
        <w:t xml:space="preserve">  </w:t>
      </w:r>
      <w:r>
        <w:rPr>
          <w:rStyle w:val="16"/>
          <w:rFonts w:hint="eastAsia" w:ascii="仿宋_GB2312" w:hAnsi="楷体" w:eastAsia="仿宋_GB2312" w:cs="Times New Roman"/>
          <w:b w:val="0"/>
          <w:spacing w:val="-4"/>
          <w:sz w:val="28"/>
          <w:szCs w:val="28"/>
        </w:rPr>
        <w:t>（一）组织实施国家、自治区、自治州安全生产方面的法规、规章、规范性文件，拟定全县安全生产工作规划和计划；参与研究有关部门在产业政策、资金投入、科技发展等工作中涉及安全生产的相关工作；负责全县安全生产伤亡事故统计工作，分析和预测全县安全生产形势，发布全县安全生产信息；指导协调全县安全生产工作，协调解决安全生产中的重大问题。</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二）承担全县安全生产综合监督管理责任，依法行使综合监督管理职权，指导协调、监督检查特克斯县人民政府有关部门和各乡（镇）安全生产工作，监督并通报有关安全生产控制指标执行情况，监督事故查处和责任追究落实情况。</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三）承担全县工矿商贸企业安全生产监督管理责任，按照分级、属地原则，依法监督检查工矿商贸生产经营单位贯彻执行安全生产法律法规情况及其安全生产条件和有关设备（特种设备除外）、材料、劳动防护用品的安全生产管理工作。</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四）承担全县非煤矿山企业，危险化学品经营企业，烟花爆竹经营企业安全生产准入管理责任，依法组织并指导监督实施安全生产、经营许可证的颁发管理工作。负责非煤矿矿山、危险化学品、烟花爆竹企业安全生产监督管理工作。</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（五）制定和发布全县工矿商贸行业安全生产规章制度并组织实施，监督检查重大危险源监控和重大事故隐患排查治理工作，依法查处不具备安全生产条件的工矿商贸生产经营单位。</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（六）承担全县工矿商贸企业作业场所（煤矿作业场所除外）职业卫生监督检查责任，负责职业卫生安全许可证的颁发管理工作，组织查处职业危害事故和违法违规行为。</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（七）负责组织全县安全生产大检查和专项督查，依法组织全县重大事故调查处理和办理结案工作，监督事故查处和责任追究落实情况。</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（八）负责组织指挥和协调全县安全生产</w:t>
      </w:r>
      <w:r>
        <w:rPr>
          <w:rStyle w:val="16"/>
          <w:rFonts w:hint="eastAsia" w:ascii="仿宋_GB2312" w:hAnsi="楷体" w:eastAsia="仿宋_GB2312" w:cs="Times New Roman"/>
          <w:b w:val="0"/>
          <w:spacing w:val="-4"/>
          <w:sz w:val="28"/>
          <w:szCs w:val="28"/>
          <w:lang w:eastAsia="zh-CN"/>
        </w:rPr>
        <w:t>**</w:t>
      </w:r>
      <w:r>
        <w:rPr>
          <w:rStyle w:val="16"/>
          <w:rFonts w:hint="eastAsia" w:ascii="仿宋_GB2312" w:hAnsi="楷体" w:eastAsia="仿宋_GB2312" w:cs="Times New Roman"/>
          <w:b w:val="0"/>
          <w:spacing w:val="-4"/>
          <w:sz w:val="28"/>
          <w:szCs w:val="28"/>
        </w:rPr>
        <w:t>救援工作，综合管理全县生产安全伤亡事故和安全生产行政执法统计分析工作。</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（九）负责监督检查职责范围内新建、改建、扩建工程项目的安全设施与主体工程同时设计、同时施工、同时投产使用情况。</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十）负责全县安全生产宣传教育工作。依法组织、指导安全生产监督管理人员的安全培训工作。组织指导并监督特种作业人员（特种设备作业人员除外）的安全培训工作和工矿商贸生产经营单位主要负责人、安全生产管理人员的安全资格（煤矿矿长安全资格除外）考核、发证工作，监督检查工矿商贸生产经营单位安全生产和职业安全培训工作。</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十一）指导协调全县安全生产检测检验工作，依法对全县工矿商贸生产经营单位安全生产条件、劳动防护用品和有关设备设施（特种设备除外）进行检测检验。承担安全生产社会中介机构、安全评价、劳动防护用品和安全标志的监督管理工作。监督和指导注册安全工程师、注册助理安全工程师执业资格考试和注册管理工作。负责劳动防护用品监督管理工作。</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（十二）组织指导协调和监督全县安全生产行政执法工作。</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十三）组织研究拟订全县安全生产规划、科技规划及其它专项规划，协调有关部门、单位实施安全生产规划工作。指导协调安全生产科学技术研究和推广工作。组织、指导和协调相关部门和单位开展安全生产重大科学技术研究和科学技术成果推广工作。</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十四）承担特克斯县安全生产委员会办公室的具体工作。承办特克斯县安全生产委员会办公室召开的会议和重要活动，督促检查特克斯县安全生产委员会办公室会议决定事项的贯彻落实等情况。组织开展县内外安全生产方面的交流与合作。</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（十五）承办县委、县政府和上级安监局交办的其它事项。</w:t>
      </w:r>
    </w:p>
    <w:p>
      <w:pPr>
        <w:spacing w:line="360" w:lineRule="auto"/>
        <w:rPr>
          <w:rStyle w:val="16"/>
          <w:rFonts w:asciiTheme="minorEastAsia" w:hAnsiTheme="minorEastAsia"/>
          <w:bCs w:val="0"/>
          <w:color w:val="FF0000"/>
          <w:spacing w:val="-4"/>
          <w:sz w:val="28"/>
          <w:szCs w:val="28"/>
        </w:rPr>
      </w:pPr>
    </w:p>
    <w:p>
      <w:pPr>
        <w:pStyle w:val="5"/>
        <w:spacing w:line="360" w:lineRule="auto"/>
        <w:ind w:firstLine="562" w:firstLineChars="200"/>
        <w:rPr>
          <w:rStyle w:val="16"/>
          <w:rFonts w:ascii="仿宋" w:hAnsi="仿宋" w:eastAsia="仿宋"/>
          <w:b/>
          <w:bCs/>
        </w:rPr>
      </w:pPr>
      <w:bookmarkStart w:id="4" w:name="_Toc70450292"/>
      <w:r>
        <w:rPr>
          <w:rStyle w:val="16"/>
          <w:rFonts w:hint="eastAsia" w:ascii="仿宋" w:hAnsi="仿宋" w:eastAsia="仿宋"/>
          <w:b/>
          <w:bCs/>
        </w:rPr>
        <w:t>2、机构人员构成</w:t>
      </w:r>
      <w:bookmarkEnd w:id="4"/>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（1）组织机构设置：</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特克斯县</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管理局无下属预算单位，</w:t>
      </w:r>
      <w:r>
        <w:rPr>
          <w:rStyle w:val="16"/>
          <w:rFonts w:hint="eastAsia" w:ascii="仿宋_GB2312" w:hAnsi="楷体" w:eastAsia="仿宋_GB2312" w:cs="Times New Roman"/>
          <w:b w:val="0"/>
          <w:spacing w:val="-4"/>
          <w:sz w:val="28"/>
          <w:szCs w:val="28"/>
        </w:rPr>
        <w:t>下设2</w:t>
      </w:r>
      <w:r>
        <w:rPr>
          <w:rStyle w:val="16"/>
          <w:rFonts w:hint="eastAsia" w:ascii="仿宋_GB2312" w:hAnsi="楷体" w:eastAsia="仿宋_GB2312"/>
          <w:b w:val="0"/>
          <w:spacing w:val="-4"/>
          <w:sz w:val="28"/>
          <w:szCs w:val="28"/>
        </w:rPr>
        <w:t>个科室，分别是：办公室和业务综合科室。</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（2）2021年特克斯县</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管理局实有在职</w:t>
      </w:r>
      <w:r>
        <w:rPr>
          <w:rStyle w:val="16"/>
          <w:rFonts w:hint="eastAsia" w:ascii="仿宋_GB2312" w:hAnsi="楷体" w:eastAsia="仿宋_GB2312"/>
          <w:b w:val="0"/>
          <w:spacing w:val="-4"/>
          <w:sz w:val="28"/>
          <w:szCs w:val="28"/>
          <w:highlight w:val="none"/>
        </w:rPr>
        <w:t>人员为20人，</w:t>
      </w:r>
      <w:r>
        <w:rPr>
          <w:rStyle w:val="16"/>
          <w:rFonts w:hint="eastAsia" w:ascii="仿宋_GB2312" w:hAnsi="楷体" w:eastAsia="仿宋_GB2312"/>
          <w:b w:val="0"/>
          <w:spacing w:val="-4"/>
          <w:sz w:val="28"/>
          <w:szCs w:val="28"/>
        </w:rPr>
        <w:t>其中：</w:t>
      </w:r>
    </w:p>
    <w:p>
      <w:pPr>
        <w:spacing w:line="360" w:lineRule="auto"/>
        <w:ind w:firstLine="544" w:firstLineChars="200"/>
        <w:rPr>
          <w:rStyle w:val="16"/>
          <w:rFonts w:hint="eastAsia" w:ascii="仿宋_GB2312" w:hAnsi="楷体" w:eastAsia="仿宋_GB2312"/>
          <w:b w:val="0"/>
          <w:spacing w:val="-4"/>
          <w:sz w:val="28"/>
          <w:szCs w:val="28"/>
          <w:lang w:eastAsia="zh-CN"/>
        </w:rPr>
      </w:pPr>
      <w:r>
        <w:rPr>
          <w:rStyle w:val="16"/>
          <w:rFonts w:hint="eastAsia" w:ascii="仿宋_GB2312" w:hAnsi="楷体" w:eastAsia="仿宋_GB2312"/>
          <w:b w:val="0"/>
          <w:spacing w:val="-4"/>
          <w:sz w:val="28"/>
          <w:szCs w:val="28"/>
        </w:rPr>
        <w:t>行政在职</w:t>
      </w:r>
      <w:r>
        <w:rPr>
          <w:rStyle w:val="16"/>
          <w:rFonts w:hint="eastAsia" w:ascii="仿宋_GB2312" w:hAnsi="楷体" w:eastAsia="仿宋_GB2312"/>
          <w:b w:val="0"/>
          <w:spacing w:val="-4"/>
          <w:sz w:val="28"/>
          <w:szCs w:val="28"/>
          <w:lang w:val="en-US" w:eastAsia="zh-CN"/>
        </w:rPr>
        <w:t>8</w:t>
      </w:r>
      <w:r>
        <w:rPr>
          <w:rStyle w:val="16"/>
          <w:rFonts w:hint="eastAsia" w:ascii="仿宋_GB2312" w:hAnsi="楷体" w:eastAsia="仿宋_GB2312"/>
          <w:b w:val="0"/>
          <w:spacing w:val="-4"/>
          <w:sz w:val="28"/>
          <w:szCs w:val="28"/>
        </w:rPr>
        <w:t>人（上年8人），</w:t>
      </w:r>
      <w:r>
        <w:rPr>
          <w:rFonts w:hint="eastAsia" w:ascii="仿宋_GB2312" w:hAnsi="楷体" w:eastAsia="仿宋_GB2312"/>
          <w:b w:val="0"/>
          <w:bCs/>
          <w:spacing w:val="-4"/>
          <w:sz w:val="28"/>
          <w:szCs w:val="28"/>
          <w:lang w:val="en-US" w:eastAsia="zh-CN"/>
        </w:rPr>
        <w:t>与</w:t>
      </w:r>
      <w:r>
        <w:rPr>
          <w:rStyle w:val="16"/>
          <w:rFonts w:hint="eastAsia" w:ascii="仿宋_GB2312" w:hAnsi="楷体" w:eastAsia="仿宋_GB2312"/>
          <w:b w:val="0"/>
          <w:bCs/>
          <w:spacing w:val="-4"/>
          <w:sz w:val="28"/>
          <w:szCs w:val="28"/>
        </w:rPr>
        <w:t>上</w:t>
      </w:r>
      <w:r>
        <w:rPr>
          <w:rStyle w:val="16"/>
          <w:rFonts w:hint="eastAsia" w:ascii="仿宋_GB2312" w:hAnsi="楷体" w:eastAsia="仿宋_GB2312"/>
          <w:b w:val="0"/>
          <w:spacing w:val="-4"/>
          <w:sz w:val="28"/>
          <w:szCs w:val="28"/>
        </w:rPr>
        <w:t>年一致</w:t>
      </w:r>
      <w:r>
        <w:rPr>
          <w:rStyle w:val="16"/>
          <w:rFonts w:hint="eastAsia" w:ascii="仿宋_GB2312" w:hAnsi="楷体" w:eastAsia="仿宋_GB2312"/>
          <w:b w:val="0"/>
          <w:spacing w:val="-4"/>
          <w:sz w:val="28"/>
          <w:szCs w:val="28"/>
          <w:lang w:eastAsia="zh-CN"/>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事业在职12人（上年16人），同比上年增加4人：</w:t>
      </w:r>
    </w:p>
    <w:p>
      <w:pPr>
        <w:spacing w:line="360" w:lineRule="auto"/>
        <w:ind w:firstLine="544" w:firstLineChars="200"/>
        <w:rPr>
          <w:rStyle w:val="16"/>
          <w:rFonts w:hint="eastAsia" w:ascii="仿宋_GB2312" w:hAnsi="楷体" w:eastAsia="仿宋_GB2312"/>
          <w:b w:val="0"/>
          <w:spacing w:val="-4"/>
          <w:sz w:val="28"/>
          <w:szCs w:val="28"/>
          <w:lang w:eastAsia="zh-CN"/>
        </w:rPr>
      </w:pPr>
      <w:r>
        <w:rPr>
          <w:rStyle w:val="16"/>
          <w:rFonts w:hint="eastAsia" w:ascii="仿宋_GB2312" w:hAnsi="楷体" w:eastAsia="仿宋_GB2312"/>
          <w:b w:val="0"/>
          <w:spacing w:val="-4"/>
          <w:sz w:val="28"/>
          <w:szCs w:val="28"/>
        </w:rPr>
        <w:t>实有离休人员0人（上年0人）,</w:t>
      </w:r>
      <w:r>
        <w:rPr>
          <w:rFonts w:hint="eastAsia" w:ascii="仿宋_GB2312" w:hAnsi="楷体" w:eastAsia="仿宋_GB2312"/>
          <w:b w:val="0"/>
          <w:bCs/>
          <w:spacing w:val="-4"/>
          <w:sz w:val="28"/>
          <w:szCs w:val="28"/>
          <w:lang w:val="en-US" w:eastAsia="zh-CN"/>
        </w:rPr>
        <w:t>与</w:t>
      </w:r>
      <w:r>
        <w:rPr>
          <w:rStyle w:val="16"/>
          <w:rFonts w:hint="eastAsia" w:ascii="仿宋_GB2312" w:hAnsi="楷体" w:eastAsia="仿宋_GB2312"/>
          <w:b w:val="0"/>
          <w:bCs/>
          <w:spacing w:val="-4"/>
          <w:sz w:val="28"/>
          <w:szCs w:val="28"/>
        </w:rPr>
        <w:t>上</w:t>
      </w:r>
      <w:r>
        <w:rPr>
          <w:rStyle w:val="16"/>
          <w:rFonts w:hint="eastAsia" w:ascii="仿宋_GB2312" w:hAnsi="楷体" w:eastAsia="仿宋_GB2312"/>
          <w:b w:val="0"/>
          <w:spacing w:val="-4"/>
          <w:sz w:val="28"/>
          <w:szCs w:val="28"/>
        </w:rPr>
        <w:t>年一致</w:t>
      </w:r>
      <w:r>
        <w:rPr>
          <w:rStyle w:val="16"/>
          <w:rFonts w:hint="eastAsia" w:ascii="仿宋_GB2312" w:hAnsi="楷体" w:eastAsia="仿宋_GB2312"/>
          <w:b w:val="0"/>
          <w:spacing w:val="-4"/>
          <w:sz w:val="28"/>
          <w:szCs w:val="28"/>
          <w:lang w:eastAsia="zh-CN"/>
        </w:rPr>
        <w:t>；</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实有退休人员4人（上年4人）,</w:t>
      </w:r>
      <w:r>
        <w:rPr>
          <w:rStyle w:val="16"/>
          <w:rFonts w:hint="eastAsia" w:ascii="仿宋_GB2312" w:hAnsi="楷体" w:eastAsia="仿宋_GB2312"/>
          <w:b w:val="0"/>
          <w:spacing w:val="-4"/>
          <w:sz w:val="28"/>
          <w:szCs w:val="28"/>
          <w:lang w:val="en-US" w:eastAsia="zh-CN"/>
        </w:rPr>
        <w:t>与</w:t>
      </w:r>
      <w:r>
        <w:rPr>
          <w:rStyle w:val="16"/>
          <w:rFonts w:hint="eastAsia" w:ascii="仿宋_GB2312" w:hAnsi="楷体" w:eastAsia="仿宋_GB2312"/>
          <w:b w:val="0"/>
          <w:spacing w:val="-4"/>
          <w:sz w:val="28"/>
          <w:szCs w:val="28"/>
        </w:rPr>
        <w:t>上年一致。</w:t>
      </w:r>
    </w:p>
    <w:p>
      <w:pPr>
        <w:spacing w:line="360" w:lineRule="auto"/>
        <w:rPr>
          <w:rStyle w:val="16"/>
          <w:rFonts w:hint="eastAsia" w:ascii="仿宋_GB2312" w:hAnsi="楷体" w:eastAsia="仿宋_GB2312"/>
          <w:b w:val="0"/>
          <w:spacing w:val="-4"/>
          <w:sz w:val="28"/>
          <w:szCs w:val="28"/>
        </w:rPr>
      </w:pPr>
    </w:p>
    <w:p>
      <w:pPr>
        <w:pStyle w:val="5"/>
        <w:spacing w:line="360" w:lineRule="auto"/>
        <w:rPr>
          <w:rStyle w:val="16"/>
          <w:rFonts w:hint="eastAsia" w:ascii="仿宋" w:hAnsi="仿宋" w:eastAsia="仿宋"/>
          <w:b/>
          <w:bCs/>
        </w:rPr>
      </w:pPr>
      <w:bookmarkStart w:id="5" w:name="_Toc70450293"/>
      <w:r>
        <w:rPr>
          <w:rStyle w:val="16"/>
          <w:rFonts w:ascii="仿宋" w:hAnsi="仿宋" w:eastAsia="仿宋"/>
          <w:b/>
          <w:bCs/>
        </w:rPr>
        <w:t>3</w:t>
      </w:r>
      <w:r>
        <w:rPr>
          <w:rStyle w:val="16"/>
          <w:rFonts w:hint="eastAsia" w:ascii="仿宋" w:hAnsi="仿宋" w:eastAsia="仿宋"/>
          <w:b/>
          <w:bCs/>
        </w:rPr>
        <w:t>、重点工作计划</w:t>
      </w:r>
      <w:bookmarkEnd w:id="5"/>
      <w:bookmarkStart w:id="6" w:name="_Toc70450294"/>
    </w:p>
    <w:p>
      <w:pPr>
        <w:pStyle w:val="5"/>
        <w:spacing w:line="360" w:lineRule="auto"/>
        <w:ind w:firstLine="544" w:firstLineChars="200"/>
        <w:rPr>
          <w:rStyle w:val="16"/>
          <w:rFonts w:ascii="仿宋" w:hAnsi="仿宋" w:eastAsia="仿宋"/>
          <w:b/>
          <w:bCs/>
          <w:highlight w:val="none"/>
        </w:rPr>
      </w:pPr>
      <w:r>
        <w:rPr>
          <w:rStyle w:val="16"/>
          <w:rFonts w:hint="eastAsia" w:ascii="仿宋_GB2312" w:hAnsi="楷体" w:eastAsia="仿宋_GB2312" w:cstheme="minorBidi"/>
          <w:b w:val="0"/>
          <w:bCs/>
          <w:spacing w:val="-4"/>
        </w:rPr>
        <w:t>今年以来，深入贯彻落实习近平总书记关于安全生产工作的重要论述和批示指示精神，坚持生命至上、人民至上、安全发展的理念，深入推进自治区党委“3+1”重点工作安排部署，坚持问题导向，狠抓工作落实，突出重点，严密防范重大安全风险，全力以赴做好特克斯县安全生产工作</w:t>
      </w:r>
      <w:r>
        <w:rPr>
          <w:rStyle w:val="16"/>
          <w:rFonts w:hint="eastAsia" w:ascii="仿宋_GB2312" w:hAnsi="楷体" w:eastAsia="仿宋_GB2312"/>
          <w:b w:val="0"/>
          <w:bCs/>
          <w:spacing w:val="-4"/>
        </w:rPr>
        <w:t>，</w:t>
      </w:r>
      <w:r>
        <w:rPr>
          <w:rStyle w:val="16"/>
          <w:rFonts w:hint="eastAsia" w:ascii="仿宋_GB2312" w:hAnsi="楷体" w:eastAsia="仿宋_GB2312" w:cstheme="minorBidi"/>
          <w:b w:val="0"/>
          <w:bCs w:val="0"/>
          <w:spacing w:val="-4"/>
        </w:rPr>
        <w:t>加强重要节点安全防范，确保安全稳定。县委、政府始终高度重视重要节点的安全防范，每逢节假日，立即召开安全生产专题会议，累计召开专题会议</w:t>
      </w:r>
      <w:r>
        <w:rPr>
          <w:rStyle w:val="16"/>
          <w:rFonts w:ascii="仿宋_GB2312" w:hAnsi="楷体" w:eastAsia="仿宋_GB2312" w:cstheme="minorBidi"/>
          <w:b w:val="0"/>
          <w:bCs w:val="0"/>
          <w:spacing w:val="-4"/>
        </w:rPr>
        <w:t>8</w:t>
      </w:r>
      <w:r>
        <w:rPr>
          <w:rStyle w:val="16"/>
          <w:rFonts w:hint="eastAsia" w:ascii="仿宋_GB2312" w:hAnsi="楷体" w:eastAsia="仿宋_GB2312" w:cstheme="minorBidi"/>
          <w:b w:val="0"/>
          <w:bCs w:val="0"/>
          <w:spacing w:val="-4"/>
        </w:rPr>
        <w:t>次，安排部署近期和</w:t>
      </w:r>
      <w:r>
        <w:rPr>
          <w:rStyle w:val="16"/>
          <w:rFonts w:ascii="仿宋_GB2312" w:hAnsi="楷体" w:eastAsia="仿宋_GB2312" w:cstheme="minorBidi"/>
          <w:b w:val="0"/>
          <w:bCs w:val="0"/>
          <w:spacing w:val="-4"/>
        </w:rPr>
        <w:t>:</w:t>
      </w:r>
      <w:r>
        <w:rPr>
          <w:rStyle w:val="16"/>
          <w:rFonts w:hint="eastAsia" w:ascii="仿宋_GB2312" w:hAnsi="楷体" w:eastAsia="仿宋_GB2312" w:cstheme="minorBidi"/>
          <w:b w:val="0"/>
          <w:bCs w:val="0"/>
          <w:spacing w:val="-4"/>
        </w:rPr>
        <w:t>“元旦·春节”</w:t>
      </w:r>
      <w:r>
        <w:rPr>
          <w:rStyle w:val="16"/>
          <w:rFonts w:ascii="仿宋_GB2312" w:hAnsi="楷体" w:eastAsia="仿宋_GB2312" w:cstheme="minorBidi"/>
          <w:b w:val="0"/>
          <w:bCs w:val="0"/>
          <w:spacing w:val="-4"/>
        </w:rPr>
        <w:t>“</w:t>
      </w:r>
      <w:r>
        <w:rPr>
          <w:rStyle w:val="16"/>
          <w:rFonts w:hint="eastAsia" w:ascii="仿宋_GB2312" w:hAnsi="楷体" w:eastAsia="仿宋_GB2312" w:cstheme="minorBidi"/>
          <w:b w:val="0"/>
          <w:bCs w:val="0"/>
          <w:spacing w:val="-4"/>
        </w:rPr>
        <w:t>五</w:t>
      </w:r>
      <w:r>
        <w:rPr>
          <w:rStyle w:val="16"/>
          <w:rFonts w:ascii="仿宋_GB2312" w:hAnsi="楷体" w:eastAsia="仿宋_GB2312" w:cstheme="minorBidi"/>
          <w:b w:val="0"/>
          <w:bCs w:val="0"/>
          <w:spacing w:val="-4"/>
        </w:rPr>
        <w:t>·</w:t>
      </w:r>
      <w:r>
        <w:rPr>
          <w:rStyle w:val="16"/>
          <w:rFonts w:hint="eastAsia" w:ascii="仿宋_GB2312" w:hAnsi="楷体" w:eastAsia="仿宋_GB2312" w:cstheme="minorBidi"/>
          <w:b w:val="0"/>
          <w:bCs w:val="0"/>
          <w:spacing w:val="-4"/>
        </w:rPr>
        <w:t>一</w:t>
      </w:r>
      <w:r>
        <w:rPr>
          <w:rStyle w:val="16"/>
          <w:rFonts w:ascii="仿宋_GB2312" w:hAnsi="楷体" w:eastAsia="仿宋_GB2312" w:cstheme="minorBidi"/>
          <w:b w:val="0"/>
          <w:bCs w:val="0"/>
          <w:spacing w:val="-4"/>
        </w:rPr>
        <w:t>”“</w:t>
      </w:r>
      <w:r>
        <w:rPr>
          <w:rStyle w:val="16"/>
          <w:rFonts w:hint="eastAsia" w:ascii="仿宋_GB2312" w:hAnsi="楷体" w:eastAsia="仿宋_GB2312" w:cstheme="minorBidi"/>
          <w:b w:val="0"/>
          <w:bCs w:val="0"/>
          <w:spacing w:val="-4"/>
        </w:rPr>
        <w:t>中秋</w:t>
      </w:r>
      <w:r>
        <w:rPr>
          <w:rStyle w:val="16"/>
          <w:rFonts w:ascii="仿宋_GB2312" w:hAnsi="楷体" w:eastAsia="仿宋_GB2312" w:cstheme="minorBidi"/>
          <w:b w:val="0"/>
          <w:bCs w:val="0"/>
          <w:spacing w:val="-4"/>
        </w:rPr>
        <w:t>·</w:t>
      </w:r>
      <w:r>
        <w:rPr>
          <w:rStyle w:val="16"/>
          <w:rFonts w:hint="eastAsia" w:ascii="仿宋_GB2312" w:hAnsi="楷体" w:eastAsia="仿宋_GB2312" w:cstheme="minorBidi"/>
          <w:b w:val="0"/>
          <w:bCs w:val="0"/>
          <w:spacing w:val="-4"/>
        </w:rPr>
        <w:t>国庆</w:t>
      </w:r>
      <w:r>
        <w:rPr>
          <w:rStyle w:val="16"/>
          <w:rFonts w:ascii="仿宋_GB2312" w:hAnsi="楷体" w:eastAsia="仿宋_GB2312" w:cstheme="minorBidi"/>
          <w:b w:val="0"/>
          <w:bCs w:val="0"/>
          <w:spacing w:val="-4"/>
        </w:rPr>
        <w:t>”</w:t>
      </w:r>
      <w:r>
        <w:rPr>
          <w:rStyle w:val="16"/>
          <w:rFonts w:hint="eastAsia" w:ascii="仿宋_GB2312" w:hAnsi="楷体" w:eastAsia="仿宋_GB2312" w:cstheme="minorBidi"/>
          <w:b w:val="0"/>
          <w:bCs w:val="0"/>
          <w:spacing w:val="-4"/>
        </w:rPr>
        <w:t>期间安全生产工作。先后下发《关于开展元旦、春节期间安全生产工作的通知》《特克斯县开展安全生产大检查、大整治工作紧急通知》《关于扎实做好近期和</w:t>
      </w:r>
      <w:r>
        <w:rPr>
          <w:rStyle w:val="16"/>
          <w:rFonts w:ascii="仿宋_GB2312" w:hAnsi="楷体" w:eastAsia="仿宋_GB2312" w:cstheme="minorBidi"/>
          <w:b w:val="0"/>
          <w:bCs w:val="0"/>
          <w:spacing w:val="-4"/>
        </w:rPr>
        <w:t>“</w:t>
      </w:r>
      <w:r>
        <w:rPr>
          <w:rStyle w:val="16"/>
          <w:rFonts w:hint="eastAsia" w:ascii="仿宋_GB2312" w:hAnsi="楷体" w:eastAsia="仿宋_GB2312" w:cstheme="minorBidi"/>
          <w:b w:val="0"/>
          <w:bCs w:val="0"/>
          <w:spacing w:val="-4"/>
        </w:rPr>
        <w:t>五</w:t>
      </w:r>
      <w:r>
        <w:rPr>
          <w:rStyle w:val="16"/>
          <w:rFonts w:ascii="仿宋_GB2312" w:hAnsi="楷体" w:eastAsia="仿宋_GB2312" w:cstheme="minorBidi"/>
          <w:b w:val="0"/>
          <w:bCs w:val="0"/>
          <w:spacing w:val="-4"/>
        </w:rPr>
        <w:t>·</w:t>
      </w:r>
      <w:r>
        <w:rPr>
          <w:rStyle w:val="16"/>
          <w:rFonts w:hint="eastAsia" w:ascii="仿宋_GB2312" w:hAnsi="楷体" w:eastAsia="仿宋_GB2312" w:cstheme="minorBidi"/>
          <w:b w:val="0"/>
          <w:bCs w:val="0"/>
          <w:spacing w:val="-4"/>
        </w:rPr>
        <w:t>一</w:t>
      </w:r>
      <w:r>
        <w:rPr>
          <w:rStyle w:val="16"/>
          <w:rFonts w:ascii="仿宋_GB2312" w:hAnsi="楷体" w:eastAsia="仿宋_GB2312" w:cstheme="minorBidi"/>
          <w:b w:val="0"/>
          <w:bCs w:val="0"/>
          <w:spacing w:val="-4"/>
        </w:rPr>
        <w:t>”</w:t>
      </w:r>
      <w:r>
        <w:rPr>
          <w:rStyle w:val="16"/>
          <w:rFonts w:hint="eastAsia" w:ascii="仿宋_GB2312" w:hAnsi="楷体" w:eastAsia="仿宋_GB2312" w:cstheme="minorBidi"/>
          <w:b w:val="0"/>
          <w:bCs w:val="0"/>
          <w:spacing w:val="-4"/>
        </w:rPr>
        <w:t>期间融雪性洪水、地质灾害及森林草原火灾等防范工作的通知》《关于做好</w:t>
      </w:r>
      <w:r>
        <w:rPr>
          <w:rStyle w:val="16"/>
          <w:rFonts w:ascii="仿宋_GB2312" w:hAnsi="楷体" w:eastAsia="仿宋_GB2312" w:cstheme="minorBidi"/>
          <w:b w:val="0"/>
          <w:bCs w:val="0"/>
          <w:spacing w:val="-4"/>
        </w:rPr>
        <w:t>“</w:t>
      </w:r>
      <w:r>
        <w:rPr>
          <w:rStyle w:val="16"/>
          <w:rFonts w:hint="eastAsia" w:ascii="仿宋_GB2312" w:hAnsi="楷体" w:eastAsia="仿宋_GB2312" w:cstheme="minorBidi"/>
          <w:b w:val="0"/>
          <w:bCs w:val="0"/>
          <w:spacing w:val="-4"/>
        </w:rPr>
        <w:t>五</w:t>
      </w:r>
      <w:r>
        <w:rPr>
          <w:rStyle w:val="16"/>
          <w:rFonts w:ascii="仿宋_GB2312" w:hAnsi="楷体" w:eastAsia="仿宋_GB2312" w:cstheme="minorBidi"/>
          <w:b w:val="0"/>
          <w:bCs w:val="0"/>
          <w:spacing w:val="-4"/>
        </w:rPr>
        <w:t>·</w:t>
      </w:r>
      <w:r>
        <w:rPr>
          <w:rStyle w:val="16"/>
          <w:rFonts w:hint="eastAsia" w:ascii="仿宋_GB2312" w:hAnsi="楷体" w:eastAsia="仿宋_GB2312" w:cstheme="minorBidi"/>
          <w:b w:val="0"/>
          <w:bCs w:val="0"/>
          <w:spacing w:val="-4"/>
        </w:rPr>
        <w:t>一</w:t>
      </w:r>
      <w:r>
        <w:rPr>
          <w:rStyle w:val="16"/>
          <w:rFonts w:ascii="仿宋_GB2312" w:hAnsi="楷体" w:eastAsia="仿宋_GB2312" w:cstheme="minorBidi"/>
          <w:b w:val="0"/>
          <w:bCs w:val="0"/>
          <w:spacing w:val="-4"/>
        </w:rPr>
        <w:t>”</w:t>
      </w:r>
      <w:r>
        <w:rPr>
          <w:rStyle w:val="16"/>
          <w:rFonts w:hint="eastAsia" w:ascii="仿宋_GB2312" w:hAnsi="楷体" w:eastAsia="仿宋_GB2312" w:cstheme="minorBidi"/>
          <w:b w:val="0"/>
          <w:bCs w:val="0"/>
          <w:spacing w:val="-4"/>
        </w:rPr>
        <w:t>假期安全生产工作的提示》《关于做好</w:t>
      </w:r>
      <w:r>
        <w:rPr>
          <w:rStyle w:val="16"/>
          <w:rFonts w:ascii="仿宋_GB2312" w:hAnsi="楷体" w:eastAsia="仿宋_GB2312" w:cstheme="minorBidi"/>
          <w:b w:val="0"/>
          <w:bCs w:val="0"/>
          <w:spacing w:val="-4"/>
        </w:rPr>
        <w:t>“</w:t>
      </w:r>
      <w:r>
        <w:rPr>
          <w:rStyle w:val="16"/>
          <w:rFonts w:hint="eastAsia" w:ascii="仿宋_GB2312" w:hAnsi="楷体" w:eastAsia="仿宋_GB2312" w:cstheme="minorBidi"/>
          <w:b w:val="0"/>
          <w:bCs w:val="0"/>
          <w:spacing w:val="-4"/>
        </w:rPr>
        <w:t>五</w:t>
      </w:r>
      <w:r>
        <w:rPr>
          <w:rStyle w:val="16"/>
          <w:rFonts w:ascii="仿宋_GB2312" w:hAnsi="楷体" w:eastAsia="仿宋_GB2312" w:cstheme="minorBidi"/>
          <w:b w:val="0"/>
          <w:bCs w:val="0"/>
          <w:spacing w:val="-4"/>
        </w:rPr>
        <w:t>·</w:t>
      </w:r>
      <w:r>
        <w:rPr>
          <w:rStyle w:val="16"/>
          <w:rFonts w:hint="eastAsia" w:ascii="仿宋_GB2312" w:hAnsi="楷体" w:eastAsia="仿宋_GB2312" w:cstheme="minorBidi"/>
          <w:b w:val="0"/>
          <w:bCs w:val="0"/>
          <w:spacing w:val="-4"/>
        </w:rPr>
        <w:t>一</w:t>
      </w:r>
      <w:r>
        <w:rPr>
          <w:rStyle w:val="16"/>
          <w:rFonts w:ascii="仿宋_GB2312" w:hAnsi="楷体" w:eastAsia="仿宋_GB2312" w:cstheme="minorBidi"/>
          <w:b w:val="0"/>
          <w:bCs w:val="0"/>
          <w:spacing w:val="-4"/>
        </w:rPr>
        <w:t>”</w:t>
      </w:r>
      <w:r>
        <w:rPr>
          <w:rStyle w:val="16"/>
          <w:rFonts w:hint="eastAsia" w:ascii="仿宋_GB2312" w:hAnsi="楷体" w:eastAsia="仿宋_GB2312" w:cstheme="minorBidi"/>
          <w:b w:val="0"/>
          <w:bCs w:val="0"/>
          <w:spacing w:val="-4"/>
        </w:rPr>
        <w:t>期间安全生产工作的安排部署》《关于做好</w:t>
      </w:r>
      <w:r>
        <w:rPr>
          <w:rStyle w:val="16"/>
          <w:rFonts w:ascii="仿宋_GB2312" w:hAnsi="楷体" w:eastAsia="仿宋_GB2312" w:cstheme="minorBidi"/>
          <w:b w:val="0"/>
          <w:bCs w:val="0"/>
          <w:spacing w:val="-4"/>
        </w:rPr>
        <w:t>“</w:t>
      </w:r>
      <w:r>
        <w:rPr>
          <w:rStyle w:val="16"/>
          <w:rFonts w:hint="eastAsia" w:ascii="仿宋_GB2312" w:hAnsi="楷体" w:eastAsia="仿宋_GB2312" w:cstheme="minorBidi"/>
          <w:b w:val="0"/>
          <w:bCs w:val="0"/>
          <w:spacing w:val="-4"/>
        </w:rPr>
        <w:t>中秋</w:t>
      </w:r>
      <w:r>
        <w:rPr>
          <w:rStyle w:val="16"/>
          <w:rFonts w:ascii="仿宋_GB2312" w:hAnsi="楷体" w:eastAsia="仿宋_GB2312" w:cstheme="minorBidi"/>
          <w:b w:val="0"/>
          <w:bCs w:val="0"/>
          <w:spacing w:val="-4"/>
        </w:rPr>
        <w:t>·</w:t>
      </w:r>
      <w:r>
        <w:rPr>
          <w:rStyle w:val="16"/>
          <w:rFonts w:hint="eastAsia" w:ascii="仿宋_GB2312" w:hAnsi="楷体" w:eastAsia="仿宋_GB2312" w:cstheme="minorBidi"/>
          <w:b w:val="0"/>
          <w:bCs w:val="0"/>
          <w:spacing w:val="-4"/>
        </w:rPr>
        <w:t>国庆</w:t>
      </w:r>
      <w:r>
        <w:rPr>
          <w:rStyle w:val="16"/>
          <w:rFonts w:ascii="仿宋_GB2312" w:hAnsi="楷体" w:eastAsia="仿宋_GB2312" w:cstheme="minorBidi"/>
          <w:b w:val="0"/>
          <w:bCs w:val="0"/>
          <w:spacing w:val="-4"/>
        </w:rPr>
        <w:t>”</w:t>
      </w:r>
      <w:r>
        <w:rPr>
          <w:rStyle w:val="16"/>
          <w:rFonts w:hint="eastAsia" w:ascii="仿宋_GB2312" w:hAnsi="楷体" w:eastAsia="仿宋_GB2312" w:cstheme="minorBidi"/>
          <w:b w:val="0"/>
          <w:bCs w:val="0"/>
          <w:spacing w:val="-4"/>
        </w:rPr>
        <w:t>期间安全生产工作的提示》《关于做好自治区第十次党代会和中央第十九届六中全会的通知》；在重要时间节点，对安全生产工作提示到位。坚持常态化检查和明察暗访相结合，不间断开展安全生产地毯式、拉网式、全覆盖隐患大排查，紧盯非煤矿山、危险化学品、旅游景点、道路交通、建筑施工、消防、人员密集场所等重点行业领域，开展安全专项集中攻坚行动，对重大事故隐患、危险源实行备案制和台账制，坚持定期分析研判，针对苗头性、倾向性问题，制定整改措施，责令限期整改。</w:t>
      </w:r>
      <w:r>
        <w:rPr>
          <w:rStyle w:val="16"/>
          <w:rFonts w:ascii="仿宋_GB2312" w:hAnsi="楷体" w:eastAsia="仿宋_GB2312" w:cstheme="minorBidi"/>
          <w:b w:val="0"/>
          <w:bCs w:val="0"/>
          <w:spacing w:val="-4"/>
        </w:rPr>
        <w:t>“</w:t>
      </w:r>
      <w:r>
        <w:rPr>
          <w:rStyle w:val="16"/>
          <w:rFonts w:hint="eastAsia" w:ascii="仿宋_GB2312" w:hAnsi="楷体" w:eastAsia="仿宋_GB2312" w:cstheme="minorBidi"/>
          <w:b w:val="0"/>
          <w:bCs w:val="0"/>
          <w:spacing w:val="-4"/>
        </w:rPr>
        <w:t>五</w:t>
      </w:r>
      <w:r>
        <w:rPr>
          <w:rStyle w:val="16"/>
          <w:rFonts w:ascii="仿宋_GB2312" w:hAnsi="楷体" w:eastAsia="仿宋_GB2312" w:cstheme="minorBidi"/>
          <w:b w:val="0"/>
          <w:bCs w:val="0"/>
          <w:spacing w:val="-4"/>
        </w:rPr>
        <w:t>·</w:t>
      </w:r>
      <w:r>
        <w:rPr>
          <w:rStyle w:val="16"/>
          <w:rFonts w:hint="eastAsia" w:ascii="仿宋_GB2312" w:hAnsi="楷体" w:eastAsia="仿宋_GB2312" w:cstheme="minorBidi"/>
          <w:b w:val="0"/>
          <w:bCs w:val="0"/>
          <w:spacing w:val="-4"/>
        </w:rPr>
        <w:t>一</w:t>
      </w:r>
      <w:r>
        <w:rPr>
          <w:rStyle w:val="16"/>
          <w:rFonts w:ascii="仿宋_GB2312" w:hAnsi="楷体" w:eastAsia="仿宋_GB2312" w:cstheme="minorBidi"/>
          <w:b w:val="0"/>
          <w:bCs w:val="0"/>
          <w:spacing w:val="-4"/>
        </w:rPr>
        <w:t>”“</w:t>
      </w:r>
      <w:r>
        <w:rPr>
          <w:rStyle w:val="16"/>
          <w:rFonts w:hint="eastAsia" w:ascii="仿宋_GB2312" w:hAnsi="楷体" w:eastAsia="仿宋_GB2312" w:cstheme="minorBidi"/>
          <w:b w:val="0"/>
          <w:bCs w:val="0"/>
          <w:spacing w:val="-4"/>
        </w:rPr>
        <w:t>中秋</w:t>
      </w:r>
      <w:r>
        <w:rPr>
          <w:rStyle w:val="16"/>
          <w:rFonts w:ascii="仿宋_GB2312" w:hAnsi="楷体" w:eastAsia="仿宋_GB2312" w:cstheme="minorBidi"/>
          <w:b w:val="0"/>
          <w:bCs w:val="0"/>
          <w:spacing w:val="-4"/>
        </w:rPr>
        <w:t>”</w:t>
      </w:r>
      <w:r>
        <w:rPr>
          <w:rStyle w:val="16"/>
          <w:rFonts w:hint="eastAsia" w:ascii="仿宋_GB2312" w:hAnsi="楷体" w:eastAsia="仿宋_GB2312" w:cstheme="minorBidi"/>
          <w:b w:val="0"/>
          <w:bCs w:val="0"/>
          <w:spacing w:val="-4"/>
        </w:rPr>
        <w:t>“国庆”期间，共检查企业</w:t>
      </w:r>
      <w:r>
        <w:rPr>
          <w:rStyle w:val="16"/>
          <w:rFonts w:ascii="仿宋_GB2312" w:hAnsi="楷体" w:eastAsia="仿宋_GB2312" w:cstheme="minorBidi"/>
          <w:b w:val="0"/>
          <w:bCs w:val="0"/>
          <w:spacing w:val="-4"/>
        </w:rPr>
        <w:t>1066</w:t>
      </w:r>
      <w:r>
        <w:rPr>
          <w:rStyle w:val="16"/>
          <w:rFonts w:hint="eastAsia" w:ascii="仿宋_GB2312" w:hAnsi="楷体" w:eastAsia="仿宋_GB2312" w:cstheme="minorBidi"/>
          <w:b w:val="0"/>
          <w:bCs w:val="0"/>
          <w:spacing w:val="-4"/>
        </w:rPr>
        <w:t>家次（含个体），发现隐患问题</w:t>
      </w:r>
      <w:r>
        <w:rPr>
          <w:rStyle w:val="16"/>
          <w:rFonts w:ascii="仿宋_GB2312" w:hAnsi="楷体" w:eastAsia="仿宋_GB2312" w:cstheme="minorBidi"/>
          <w:b w:val="0"/>
          <w:bCs w:val="0"/>
          <w:spacing w:val="-4"/>
        </w:rPr>
        <w:t>310</w:t>
      </w:r>
      <w:r>
        <w:rPr>
          <w:rStyle w:val="16"/>
          <w:rFonts w:hint="eastAsia" w:ascii="仿宋_GB2312" w:hAnsi="楷体" w:eastAsia="仿宋_GB2312" w:cstheme="minorBidi"/>
          <w:b w:val="0"/>
          <w:bCs w:val="0"/>
          <w:spacing w:val="-4"/>
        </w:rPr>
        <w:t>条，已整改</w:t>
      </w:r>
      <w:r>
        <w:rPr>
          <w:rStyle w:val="16"/>
          <w:rFonts w:ascii="仿宋_GB2312" w:hAnsi="楷体" w:eastAsia="仿宋_GB2312" w:cstheme="minorBidi"/>
          <w:b w:val="0"/>
          <w:bCs w:val="0"/>
          <w:spacing w:val="-4"/>
        </w:rPr>
        <w:t>310</w:t>
      </w:r>
      <w:r>
        <w:rPr>
          <w:rStyle w:val="16"/>
          <w:rFonts w:hint="eastAsia" w:ascii="仿宋_GB2312" w:hAnsi="楷体" w:eastAsia="仿宋_GB2312" w:cstheme="minorBidi"/>
          <w:b w:val="0"/>
          <w:bCs w:val="0"/>
          <w:spacing w:val="-4"/>
        </w:rPr>
        <w:t>条，下发督查督办</w:t>
      </w:r>
      <w:r>
        <w:rPr>
          <w:rStyle w:val="16"/>
          <w:rFonts w:ascii="仿宋_GB2312" w:hAnsi="楷体" w:eastAsia="仿宋_GB2312" w:cstheme="minorBidi"/>
          <w:b w:val="0"/>
          <w:bCs w:val="0"/>
          <w:spacing w:val="-4"/>
        </w:rPr>
        <w:t>6</w:t>
      </w:r>
      <w:r>
        <w:rPr>
          <w:rStyle w:val="16"/>
          <w:rFonts w:hint="eastAsia" w:ascii="仿宋_GB2312" w:hAnsi="楷体" w:eastAsia="仿宋_GB2312" w:cstheme="minorBidi"/>
          <w:b w:val="0"/>
          <w:bCs w:val="0"/>
          <w:spacing w:val="-4"/>
        </w:rPr>
        <w:t>份，下发执法文书</w:t>
      </w:r>
      <w:r>
        <w:rPr>
          <w:rStyle w:val="16"/>
          <w:rFonts w:ascii="仿宋_GB2312" w:hAnsi="楷体" w:eastAsia="仿宋_GB2312" w:cstheme="minorBidi"/>
          <w:b w:val="0"/>
          <w:bCs w:val="0"/>
          <w:spacing w:val="-4"/>
        </w:rPr>
        <w:t>3</w:t>
      </w:r>
      <w:r>
        <w:rPr>
          <w:rStyle w:val="16"/>
          <w:rFonts w:hint="eastAsia" w:ascii="仿宋_GB2312" w:hAnsi="楷体" w:eastAsia="仿宋_GB2312" w:cstheme="minorBidi"/>
          <w:b w:val="0"/>
          <w:bCs w:val="0"/>
          <w:spacing w:val="-4"/>
        </w:rPr>
        <w:t>份。自治区党代会和中央十九届六中全会召开期间，</w:t>
      </w:r>
      <w:r>
        <w:rPr>
          <w:rStyle w:val="16"/>
          <w:rFonts w:ascii="仿宋_GB2312" w:hAnsi="楷体" w:eastAsia="仿宋_GB2312" w:cstheme="minorBidi"/>
          <w:b w:val="0"/>
          <w:bCs w:val="0"/>
          <w:spacing w:val="-4"/>
        </w:rPr>
        <w:t>4</w:t>
      </w:r>
      <w:r>
        <w:rPr>
          <w:rStyle w:val="16"/>
          <w:rFonts w:hint="eastAsia" w:ascii="仿宋_GB2312" w:hAnsi="楷体" w:eastAsia="仿宋_GB2312" w:cstheme="minorBidi"/>
          <w:b w:val="0"/>
          <w:bCs w:val="0"/>
          <w:spacing w:val="-4"/>
        </w:rPr>
        <w:t>个综合督导组、</w:t>
      </w:r>
      <w:r>
        <w:rPr>
          <w:rStyle w:val="16"/>
          <w:rFonts w:ascii="仿宋_GB2312" w:hAnsi="楷体" w:eastAsia="仿宋_GB2312" w:cstheme="minorBidi"/>
          <w:b w:val="0"/>
          <w:bCs w:val="0"/>
          <w:spacing w:val="-4"/>
        </w:rPr>
        <w:t>23</w:t>
      </w:r>
      <w:r>
        <w:rPr>
          <w:rStyle w:val="16"/>
          <w:rFonts w:hint="eastAsia" w:ascii="仿宋_GB2312" w:hAnsi="楷体" w:eastAsia="仿宋_GB2312" w:cstheme="minorBidi"/>
          <w:b w:val="0"/>
          <w:bCs w:val="0"/>
          <w:spacing w:val="-4"/>
        </w:rPr>
        <w:t>个乡镇、行业专项检查组深入企业、各重点场所、区域进行安全检查，共查出隐患</w:t>
      </w:r>
      <w:r>
        <w:rPr>
          <w:rStyle w:val="16"/>
          <w:rFonts w:ascii="仿宋_GB2312" w:hAnsi="楷体" w:eastAsia="仿宋_GB2312" w:cstheme="minorBidi"/>
          <w:b w:val="0"/>
          <w:bCs w:val="0"/>
          <w:spacing w:val="-4"/>
        </w:rPr>
        <w:t>23</w:t>
      </w:r>
      <w:r>
        <w:rPr>
          <w:rStyle w:val="16"/>
          <w:rFonts w:hint="eastAsia" w:ascii="仿宋_GB2312" w:hAnsi="楷体" w:eastAsia="仿宋_GB2312" w:cstheme="minorBidi"/>
          <w:b w:val="0"/>
          <w:bCs w:val="0"/>
          <w:spacing w:val="-4"/>
        </w:rPr>
        <w:t>条，立查立改</w:t>
      </w:r>
      <w:r>
        <w:rPr>
          <w:rStyle w:val="16"/>
          <w:rFonts w:ascii="仿宋_GB2312" w:hAnsi="楷体" w:eastAsia="仿宋_GB2312" w:cstheme="minorBidi"/>
          <w:b w:val="0"/>
          <w:bCs w:val="0"/>
          <w:spacing w:val="-4"/>
        </w:rPr>
        <w:t>18</w:t>
      </w:r>
      <w:r>
        <w:rPr>
          <w:rStyle w:val="16"/>
          <w:rFonts w:hint="eastAsia" w:ascii="仿宋_GB2312" w:hAnsi="楷体" w:eastAsia="仿宋_GB2312" w:cstheme="minorBidi"/>
          <w:b w:val="0"/>
          <w:bCs w:val="0"/>
          <w:spacing w:val="-4"/>
        </w:rPr>
        <w:t>条，限期整改</w:t>
      </w:r>
      <w:r>
        <w:rPr>
          <w:rStyle w:val="16"/>
          <w:rFonts w:ascii="仿宋_GB2312" w:hAnsi="楷体" w:eastAsia="仿宋_GB2312" w:cstheme="minorBidi"/>
          <w:b w:val="0"/>
          <w:bCs w:val="0"/>
          <w:spacing w:val="-4"/>
        </w:rPr>
        <w:t>5</w:t>
      </w:r>
      <w:r>
        <w:rPr>
          <w:rStyle w:val="16"/>
          <w:rFonts w:hint="eastAsia" w:ascii="仿宋_GB2312" w:hAnsi="楷体" w:eastAsia="仿宋_GB2312" w:cstheme="minorBidi"/>
          <w:b w:val="0"/>
          <w:bCs w:val="0"/>
          <w:spacing w:val="-4"/>
        </w:rPr>
        <w:t>条，下发执法文书</w:t>
      </w:r>
      <w:r>
        <w:rPr>
          <w:rStyle w:val="16"/>
          <w:rFonts w:ascii="仿宋_GB2312" w:hAnsi="楷体" w:eastAsia="仿宋_GB2312" w:cstheme="minorBidi"/>
          <w:b w:val="0"/>
          <w:bCs w:val="0"/>
          <w:spacing w:val="-4"/>
        </w:rPr>
        <w:t>3</w:t>
      </w:r>
      <w:r>
        <w:rPr>
          <w:rStyle w:val="16"/>
          <w:rFonts w:hint="eastAsia" w:ascii="仿宋_GB2312" w:hAnsi="楷体" w:eastAsia="仿宋_GB2312" w:cstheme="minorBidi"/>
          <w:b w:val="0"/>
          <w:bCs w:val="0"/>
          <w:spacing w:val="-4"/>
        </w:rPr>
        <w:t>份，截止目前限期整改已整改完毕</w:t>
      </w:r>
      <w:r>
        <w:rPr>
          <w:rStyle w:val="16"/>
          <w:rFonts w:hint="eastAsia" w:ascii="仿宋_GB2312" w:hAnsi="楷体" w:eastAsia="仿宋_GB2312"/>
          <w:b w:val="0"/>
          <w:bCs w:val="0"/>
          <w:spacing w:val="-4"/>
        </w:rPr>
        <w:t>。</w:t>
      </w:r>
      <w:r>
        <w:rPr>
          <w:rStyle w:val="16"/>
          <w:rFonts w:hint="eastAsia" w:ascii="仿宋_GB2312" w:hAnsi="楷体" w:eastAsia="仿宋_GB2312" w:cstheme="minorBidi"/>
          <w:b w:val="0"/>
          <w:bCs/>
          <w:spacing w:val="-4"/>
          <w:highlight w:val="none"/>
        </w:rPr>
        <w:t>保证单位财政供养人员基本工资、津贴补贴、艰边补助预算的收支，保证单位工作正常开展和各项任务顺利完成。</w:t>
      </w:r>
    </w:p>
    <w:p>
      <w:pPr>
        <w:pStyle w:val="4"/>
        <w:spacing w:line="360" w:lineRule="auto"/>
        <w:ind w:firstLine="562" w:firstLineChars="200"/>
        <w:rPr>
          <w:rStyle w:val="16"/>
          <w:rFonts w:ascii="仿宋" w:hAnsi="仿宋" w:eastAsia="仿宋"/>
          <w:b/>
          <w:bCs/>
          <w:sz w:val="28"/>
          <w:szCs w:val="28"/>
        </w:rPr>
      </w:pPr>
      <w:r>
        <w:rPr>
          <w:rStyle w:val="16"/>
          <w:rFonts w:hint="eastAsia" w:ascii="仿宋" w:hAnsi="仿宋" w:eastAsia="仿宋"/>
          <w:b/>
          <w:bCs/>
          <w:sz w:val="28"/>
          <w:szCs w:val="28"/>
        </w:rPr>
        <w:t>（二）部门单位整体支出规模、</w:t>
      </w:r>
      <w:bookmarkStart w:id="7" w:name="_Hlk70339807"/>
      <w:r>
        <w:rPr>
          <w:rStyle w:val="16"/>
          <w:rFonts w:hint="eastAsia" w:ascii="仿宋" w:hAnsi="仿宋" w:eastAsia="仿宋"/>
          <w:b/>
          <w:bCs/>
          <w:sz w:val="28"/>
          <w:szCs w:val="28"/>
        </w:rPr>
        <w:t>使用方法和主要内容、涉及对象及范围等</w:t>
      </w:r>
      <w:bookmarkEnd w:id="6"/>
    </w:p>
    <w:bookmarkEnd w:id="7"/>
    <w:p>
      <w:pPr>
        <w:pStyle w:val="5"/>
        <w:spacing w:line="360" w:lineRule="auto"/>
        <w:ind w:firstLine="562" w:firstLineChars="200"/>
        <w:rPr>
          <w:rStyle w:val="16"/>
          <w:rFonts w:ascii="仿宋" w:hAnsi="仿宋" w:eastAsia="仿宋"/>
          <w:b/>
          <w:bCs/>
        </w:rPr>
      </w:pPr>
      <w:bookmarkStart w:id="8" w:name="_Toc70450295"/>
      <w:r>
        <w:rPr>
          <w:rStyle w:val="16"/>
          <w:rFonts w:hint="eastAsia" w:ascii="仿宋" w:hAnsi="仿宋" w:eastAsia="仿宋"/>
          <w:b/>
          <w:bCs/>
        </w:rPr>
        <w:t>1、部门单位整体支出规模</w:t>
      </w:r>
      <w:bookmarkEnd w:id="8"/>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2021年批复我部门特克斯县</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管理局预算为690.20万元，其中：财政拨款为690.20万元。年中追加资金507.54万元，调整率278.48%。</w:t>
      </w:r>
      <w:r>
        <w:rPr>
          <w:rStyle w:val="16"/>
          <w:rFonts w:hint="eastAsia" w:ascii="仿宋_GB2312" w:hAnsi="楷体" w:eastAsia="仿宋_GB2312"/>
          <w:b w:val="0"/>
          <w:spacing w:val="-4"/>
          <w:sz w:val="28"/>
          <w:szCs w:val="28"/>
          <w:highlight w:val="none"/>
        </w:rPr>
        <w:t>对比上年883.42万元，减少193.22万元，降低21.87%。</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2021年实际决算支出</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690.20</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万元，执行率100%，其中：</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（1）基本支出370.20</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万元，占总支出的53.64％，主要用于本部门特克斯县</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 xml:space="preserve">管理局机构正常运转、完成日常工作任务而发生的各项支出。其中：工资福利支出246.77万元，主要用于在职和离退休人员基本工资、津贴补贴等人员经费。商品和服务支出122.71万元，主要用于办公费、印刷费、水电费、办公设备购置等。对个人和家庭的补助0.72万元，主要用于退休人员的独生子女费用。资本性支出0万元。 </w:t>
      </w:r>
      <w:r>
        <w:rPr>
          <w:rStyle w:val="16"/>
          <w:rFonts w:ascii="仿宋_GB2312" w:hAnsi="楷体" w:eastAsia="仿宋_GB2312"/>
          <w:b w:val="0"/>
          <w:spacing w:val="-4"/>
          <w:sz w:val="28"/>
          <w:szCs w:val="28"/>
        </w:rPr>
        <w:t xml:space="preserve"> </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w:t>
      </w:r>
      <w:r>
        <w:rPr>
          <w:rStyle w:val="16"/>
          <w:rFonts w:ascii="仿宋_GB2312" w:hAnsi="楷体" w:eastAsia="仿宋_GB2312"/>
          <w:b w:val="0"/>
          <w:spacing w:val="-4"/>
          <w:sz w:val="28"/>
          <w:szCs w:val="28"/>
        </w:rPr>
        <w:t>2</w:t>
      </w:r>
      <w:r>
        <w:rPr>
          <w:rStyle w:val="16"/>
          <w:rFonts w:hint="eastAsia" w:ascii="仿宋_GB2312" w:hAnsi="楷体" w:eastAsia="仿宋_GB2312"/>
          <w:b w:val="0"/>
          <w:spacing w:val="-4"/>
          <w:sz w:val="28"/>
          <w:szCs w:val="28"/>
        </w:rPr>
        <w:t>）项目支出</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320</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万元，占总支出的46.36％。其中：中央自然灾害补助资金项目安排</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320</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万元，主要用于完成帮助受灾群众解决实际困难。</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w:t>
      </w:r>
      <w:r>
        <w:rPr>
          <w:rStyle w:val="16"/>
          <w:rFonts w:ascii="仿宋_GB2312" w:hAnsi="楷体" w:eastAsia="仿宋_GB2312"/>
          <w:b w:val="0"/>
          <w:spacing w:val="-4"/>
          <w:sz w:val="28"/>
          <w:szCs w:val="28"/>
        </w:rPr>
        <w:t>3</w:t>
      </w:r>
      <w:r>
        <w:rPr>
          <w:rStyle w:val="16"/>
          <w:rFonts w:hint="eastAsia" w:ascii="仿宋_GB2312" w:hAnsi="楷体" w:eastAsia="仿宋_GB2312"/>
          <w:b w:val="0"/>
          <w:spacing w:val="-4"/>
          <w:sz w:val="28"/>
          <w:szCs w:val="28"/>
        </w:rPr>
        <w:t>）本年度重点项目支出320万元，重点支出保障率100%。其中重点保障项目是中央自然灾害补助资金。</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（4）本年度我部门特克斯县</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管理局政府采购预算87.42万元,实际用于政府采购金额87.42万元，采购执行率</w:t>
      </w:r>
      <w:r>
        <w:rPr>
          <w:rStyle w:val="16"/>
          <w:rFonts w:hint="eastAsia" w:ascii="仿宋_GB2312" w:hAnsi="宋体" w:eastAsia="仿宋_GB2312"/>
          <w:b w:val="0"/>
          <w:bCs w:val="0"/>
          <w:spacing w:val="-4"/>
          <w:sz w:val="28"/>
          <w:szCs w:val="28"/>
        </w:rPr>
        <w:t>100</w:t>
      </w:r>
      <w:r>
        <w:rPr>
          <w:rStyle w:val="16"/>
          <w:rFonts w:hint="eastAsia" w:ascii="仿宋_GB2312" w:hAnsi="楷体" w:eastAsia="仿宋_GB2312"/>
          <w:b w:val="0"/>
          <w:spacing w:val="-4"/>
          <w:sz w:val="28"/>
          <w:szCs w:val="28"/>
        </w:rPr>
        <w:t>%。</w:t>
      </w:r>
    </w:p>
    <w:p>
      <w:pPr>
        <w:pStyle w:val="5"/>
        <w:spacing w:line="360" w:lineRule="auto"/>
        <w:ind w:firstLine="562" w:firstLineChars="200"/>
        <w:rPr>
          <w:rStyle w:val="16"/>
          <w:rFonts w:ascii="仿宋" w:hAnsi="仿宋" w:eastAsia="仿宋"/>
          <w:b/>
          <w:bCs/>
        </w:rPr>
      </w:pPr>
      <w:bookmarkStart w:id="9" w:name="_Toc70450296"/>
      <w:r>
        <w:rPr>
          <w:rStyle w:val="16"/>
          <w:rFonts w:ascii="仿宋" w:hAnsi="仿宋" w:eastAsia="仿宋"/>
          <w:b/>
          <w:bCs/>
        </w:rPr>
        <w:t>2</w:t>
      </w:r>
      <w:r>
        <w:rPr>
          <w:rStyle w:val="16"/>
          <w:rFonts w:hint="eastAsia" w:ascii="仿宋" w:hAnsi="仿宋" w:eastAsia="仿宋"/>
          <w:b/>
          <w:bCs/>
        </w:rPr>
        <w:t>、整体支出评价使用方法和主要内容、涉及对象及范围等</w:t>
      </w:r>
      <w:bookmarkEnd w:id="9"/>
    </w:p>
    <w:p>
      <w:pPr>
        <w:spacing w:line="360" w:lineRule="auto"/>
        <w:ind w:firstLine="560" w:firstLineChars="200"/>
        <w:rPr>
          <w:rStyle w:val="16"/>
          <w:rFonts w:ascii="仿宋_GB2312" w:eastAsia="仿宋_GB2312"/>
          <w:b w:val="0"/>
          <w:bCs w:val="0"/>
          <w:sz w:val="28"/>
          <w:szCs w:val="36"/>
        </w:rPr>
      </w:pPr>
      <w:r>
        <w:rPr>
          <w:rFonts w:hint="eastAsia" w:ascii="仿宋_GB2312" w:eastAsia="仿宋_GB2312"/>
          <w:sz w:val="28"/>
          <w:szCs w:val="36"/>
        </w:rPr>
        <w:t>（1）</w:t>
      </w:r>
      <w:r>
        <w:rPr>
          <w:rStyle w:val="16"/>
          <w:rFonts w:hint="eastAsia" w:ascii="仿宋_GB2312" w:eastAsia="仿宋_GB2312"/>
          <w:b w:val="0"/>
          <w:bCs w:val="0"/>
          <w:sz w:val="28"/>
          <w:szCs w:val="36"/>
        </w:rPr>
        <w:t>整体支出评价使用方法</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本次部门特克斯县</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管理局整体支出绩效自评采用综合指数评价法方法，原因是：其最大优点不仅可以反应复杂的总体方向和程度，而且可以明确地、定量的说明整体绩效的效果。</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（2）整体支出评价主要内容</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1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①</w:t>
      </w:r>
      <w:r>
        <w:rPr>
          <w:rFonts w:ascii="仿宋_GB2312" w:eastAsia="仿宋_GB2312"/>
          <w:sz w:val="28"/>
          <w:szCs w:val="36"/>
        </w:rPr>
        <w:fldChar w:fldCharType="end"/>
      </w:r>
      <w:r>
        <w:rPr>
          <w:rFonts w:hint="eastAsia" w:ascii="仿宋_GB2312" w:eastAsia="仿宋_GB2312"/>
          <w:sz w:val="28"/>
          <w:szCs w:val="36"/>
        </w:rPr>
        <w:t>绩效目标的设定情况。重点评价绩效目标设立的充分性、明确性、合理性以及细化程度。</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2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②</w:t>
      </w:r>
      <w:r>
        <w:rPr>
          <w:rFonts w:ascii="仿宋_GB2312" w:eastAsia="仿宋_GB2312"/>
          <w:sz w:val="28"/>
          <w:szCs w:val="36"/>
        </w:rPr>
        <w:fldChar w:fldCharType="end"/>
      </w:r>
      <w:r>
        <w:rPr>
          <w:rFonts w:hint="eastAsia" w:ascii="仿宋_GB2312" w:eastAsia="仿宋_GB2312"/>
          <w:sz w:val="28"/>
          <w:szCs w:val="36"/>
        </w:rPr>
        <w:t>资金投入和使用情况。重点评价资金分配过程、投入方式、资金到位、预算执行和结果。</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3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③</w:t>
      </w:r>
      <w:r>
        <w:rPr>
          <w:rFonts w:ascii="仿宋_GB2312" w:eastAsia="仿宋_GB2312"/>
          <w:sz w:val="28"/>
          <w:szCs w:val="36"/>
        </w:rPr>
        <w:fldChar w:fldCharType="end"/>
      </w:r>
      <w:r>
        <w:rPr>
          <w:rFonts w:hint="eastAsia" w:ascii="仿宋_GB2312" w:eastAsia="仿宋_GB2312"/>
          <w:sz w:val="28"/>
          <w:szCs w:val="36"/>
        </w:rPr>
        <w:t>为实现绩效目标制定的制度、采取的措施等。包括项目管理制度、财务管理制度、资产管理制度和绩效跟踪管理措施等。</w:t>
      </w:r>
    </w:p>
    <w:p>
      <w:pPr>
        <w:spacing w:line="360" w:lineRule="auto"/>
        <w:ind w:firstLine="560" w:firstLineChars="200"/>
        <w:rPr>
          <w:rStyle w:val="16"/>
          <w:rFonts w:ascii="仿宋_GB2312" w:eastAsia="仿宋_GB2312"/>
          <w:b w:val="0"/>
          <w:bCs w:val="0"/>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4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④</w:t>
      </w:r>
      <w:r>
        <w:rPr>
          <w:rFonts w:ascii="仿宋_GB2312" w:eastAsia="仿宋_GB2312"/>
          <w:sz w:val="28"/>
          <w:szCs w:val="36"/>
        </w:rPr>
        <w:fldChar w:fldCharType="end"/>
      </w:r>
      <w:r>
        <w:rPr>
          <w:rFonts w:hint="eastAsia" w:ascii="仿宋_GB2312" w:eastAsia="仿宋_GB2312"/>
          <w:sz w:val="28"/>
          <w:szCs w:val="36"/>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（3）整体支出评价涉及对象及范围</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涉及对象：</w:t>
      </w:r>
      <w:r>
        <w:rPr>
          <w:rFonts w:hint="eastAsia" w:ascii="仿宋_GB2312" w:eastAsia="仿宋_GB2312"/>
          <w:sz w:val="28"/>
          <w:szCs w:val="36"/>
        </w:rPr>
        <w:t>本次评价对象是特克斯县</w:t>
      </w:r>
      <w:r>
        <w:rPr>
          <w:rFonts w:hint="eastAsia" w:ascii="仿宋_GB2312" w:eastAsia="仿宋_GB2312"/>
          <w:sz w:val="28"/>
          <w:szCs w:val="36"/>
          <w:lang w:eastAsia="zh-CN"/>
        </w:rPr>
        <w:t>**</w:t>
      </w:r>
      <w:r>
        <w:rPr>
          <w:rFonts w:hint="eastAsia" w:ascii="仿宋_GB2312" w:eastAsia="仿宋_GB2312"/>
          <w:sz w:val="28"/>
          <w:szCs w:val="36"/>
        </w:rPr>
        <w:t>管理局所有财政资金支出活动。</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整体支出评价范围：</w:t>
      </w:r>
    </w:p>
    <w:p>
      <w:pPr>
        <w:spacing w:line="360" w:lineRule="auto"/>
        <w:ind w:firstLine="544" w:firstLineChars="200"/>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fldChar w:fldCharType="begin"/>
      </w:r>
      <w:r>
        <w:rPr>
          <w:rStyle w:val="16"/>
          <w:rFonts w:ascii="仿宋_GB2312" w:hAnsi="楷体" w:eastAsia="仿宋_GB2312"/>
          <w:b w:val="0"/>
          <w:spacing w:val="-4"/>
          <w:sz w:val="28"/>
          <w:szCs w:val="28"/>
        </w:rPr>
        <w:instrText xml:space="preserve"> </w:instrText>
      </w:r>
      <w:r>
        <w:rPr>
          <w:rStyle w:val="16"/>
          <w:rFonts w:hint="eastAsia" w:ascii="仿宋_GB2312" w:hAnsi="楷体" w:eastAsia="仿宋_GB2312"/>
          <w:b w:val="0"/>
          <w:spacing w:val="-4"/>
          <w:sz w:val="28"/>
          <w:szCs w:val="28"/>
        </w:rPr>
        <w:instrText xml:space="preserve">= 1 \* GB3</w:instrText>
      </w:r>
      <w:r>
        <w:rPr>
          <w:rStyle w:val="16"/>
          <w:rFonts w:ascii="仿宋_GB2312" w:hAnsi="楷体" w:eastAsia="仿宋_GB2312"/>
          <w:b w:val="0"/>
          <w:spacing w:val="-4"/>
          <w:sz w:val="28"/>
          <w:szCs w:val="28"/>
        </w:rPr>
        <w:instrText xml:space="preserve"> </w:instrText>
      </w:r>
      <w:r>
        <w:rPr>
          <w:rStyle w:val="16"/>
          <w:rFonts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①</w:t>
      </w:r>
      <w:r>
        <w:rPr>
          <w:rStyle w:val="16"/>
          <w:rFonts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基本支出 370.20</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万元，其中：工资福利支出、商品和服务支出、对个人和家庭的补助支出。</w:t>
      </w:r>
    </w:p>
    <w:p>
      <w:pPr>
        <w:spacing w:line="360" w:lineRule="auto"/>
        <w:ind w:firstLine="492" w:firstLineChars="181"/>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fldChar w:fldCharType="begin"/>
      </w:r>
      <w:r>
        <w:rPr>
          <w:rStyle w:val="16"/>
          <w:rFonts w:ascii="仿宋_GB2312" w:hAnsi="楷体" w:eastAsia="仿宋_GB2312"/>
          <w:b w:val="0"/>
          <w:spacing w:val="-4"/>
          <w:sz w:val="28"/>
          <w:szCs w:val="28"/>
        </w:rPr>
        <w:instrText xml:space="preserve"> </w:instrText>
      </w:r>
      <w:r>
        <w:rPr>
          <w:rStyle w:val="16"/>
          <w:rFonts w:hint="eastAsia" w:ascii="仿宋_GB2312" w:hAnsi="楷体" w:eastAsia="仿宋_GB2312"/>
          <w:b w:val="0"/>
          <w:spacing w:val="-4"/>
          <w:sz w:val="28"/>
          <w:szCs w:val="28"/>
        </w:rPr>
        <w:instrText xml:space="preserve">= 2 \* GB3</w:instrText>
      </w:r>
      <w:r>
        <w:rPr>
          <w:rStyle w:val="16"/>
          <w:rFonts w:ascii="仿宋_GB2312" w:hAnsi="楷体" w:eastAsia="仿宋_GB2312"/>
          <w:b w:val="0"/>
          <w:spacing w:val="-4"/>
          <w:sz w:val="28"/>
          <w:szCs w:val="28"/>
        </w:rPr>
        <w:instrText xml:space="preserve"> </w:instrText>
      </w:r>
      <w:r>
        <w:rPr>
          <w:rStyle w:val="16"/>
          <w:rFonts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②</w:t>
      </w:r>
      <w:r>
        <w:rPr>
          <w:rStyle w:val="16"/>
          <w:rFonts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项目支出 320</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万元：中央自然灾害补助资金。</w:t>
      </w:r>
    </w:p>
    <w:p>
      <w:pPr>
        <w:spacing w:line="360" w:lineRule="auto"/>
        <w:ind w:firstLine="544" w:firstLineChars="200"/>
        <w:rPr>
          <w:rStyle w:val="16"/>
          <w:rFonts w:ascii="仿宋_GB2312" w:hAnsi="楷体" w:eastAsia="仿宋_GB2312"/>
          <w:b w:val="0"/>
          <w:spacing w:val="-4"/>
          <w:sz w:val="28"/>
          <w:szCs w:val="28"/>
        </w:rPr>
      </w:pPr>
    </w:p>
    <w:p>
      <w:pPr>
        <w:pStyle w:val="3"/>
        <w:spacing w:line="360" w:lineRule="auto"/>
        <w:rPr>
          <w:rFonts w:ascii="仿宋" w:hAnsi="仿宋" w:eastAsia="仿宋"/>
          <w:sz w:val="36"/>
          <w:szCs w:val="36"/>
        </w:rPr>
      </w:pPr>
      <w:bookmarkStart w:id="10" w:name="_Toc70450297"/>
      <w:r>
        <w:rPr>
          <w:rFonts w:hint="eastAsia" w:ascii="仿宋" w:hAnsi="仿宋" w:eastAsia="仿宋"/>
          <w:sz w:val="36"/>
          <w:szCs w:val="36"/>
        </w:rPr>
        <w:t>二、部门单位整体支出管理及使用情况</w:t>
      </w:r>
      <w:bookmarkEnd w:id="10"/>
    </w:p>
    <w:p>
      <w:pPr>
        <w:pStyle w:val="4"/>
        <w:spacing w:line="360" w:lineRule="auto"/>
        <w:rPr>
          <w:rStyle w:val="16"/>
          <w:rFonts w:ascii="仿宋" w:hAnsi="仿宋" w:eastAsia="仿宋"/>
          <w:b/>
          <w:bCs/>
        </w:rPr>
      </w:pPr>
      <w:bookmarkStart w:id="11" w:name="_Toc70450298"/>
      <w:r>
        <w:rPr>
          <w:rStyle w:val="16"/>
          <w:rFonts w:hint="eastAsia" w:ascii="仿宋" w:hAnsi="仿宋" w:eastAsia="仿宋"/>
          <w:b/>
          <w:bCs/>
        </w:rPr>
        <w:t>（一）预算管理</w:t>
      </w:r>
      <w:bookmarkEnd w:id="11"/>
    </w:p>
    <w:p>
      <w:pPr>
        <w:pStyle w:val="5"/>
        <w:spacing w:line="360" w:lineRule="auto"/>
        <w:ind w:firstLine="562" w:firstLineChars="200"/>
        <w:rPr>
          <w:rStyle w:val="16"/>
          <w:rFonts w:ascii="仿宋" w:hAnsi="仿宋" w:eastAsia="仿宋"/>
          <w:b/>
          <w:bCs/>
        </w:rPr>
      </w:pPr>
      <w:bookmarkStart w:id="12" w:name="_Toc70450299"/>
      <w:r>
        <w:rPr>
          <w:rStyle w:val="16"/>
          <w:rFonts w:ascii="仿宋" w:hAnsi="仿宋" w:eastAsia="仿宋"/>
          <w:b/>
          <w:bCs/>
        </w:rPr>
        <w:t>1</w:t>
      </w:r>
      <w:r>
        <w:rPr>
          <w:rStyle w:val="16"/>
          <w:rFonts w:hint="eastAsia" w:ascii="仿宋" w:hAnsi="仿宋" w:eastAsia="仿宋"/>
          <w:b/>
          <w:bCs/>
        </w:rPr>
        <w:t>、预算编制管理</w:t>
      </w:r>
      <w:bookmarkEnd w:id="12"/>
    </w:p>
    <w:p>
      <w:pPr>
        <w:spacing w:line="360" w:lineRule="auto"/>
        <w:ind w:firstLine="506" w:firstLineChars="181"/>
        <w:rPr>
          <w:rStyle w:val="16"/>
          <w:rFonts w:asciiTheme="minorEastAsia" w:hAnsiTheme="minorEastAsia"/>
          <w:color w:val="FF0000"/>
          <w:spacing w:val="-4"/>
          <w:sz w:val="28"/>
          <w:szCs w:val="28"/>
        </w:rPr>
      </w:pPr>
      <w:r>
        <w:rPr>
          <w:rFonts w:hint="eastAsia" w:ascii="仿宋_GB2312" w:eastAsia="仿宋_GB2312"/>
          <w:sz w:val="28"/>
          <w:szCs w:val="36"/>
        </w:rPr>
        <w:t>我单位特克斯县</w:t>
      </w:r>
      <w:r>
        <w:rPr>
          <w:rFonts w:hint="eastAsia" w:ascii="仿宋_GB2312" w:eastAsia="仿宋_GB2312"/>
          <w:sz w:val="28"/>
          <w:szCs w:val="36"/>
          <w:lang w:eastAsia="zh-CN"/>
        </w:rPr>
        <w:t>**</w:t>
      </w:r>
      <w:r>
        <w:rPr>
          <w:rFonts w:hint="eastAsia" w:ascii="仿宋_GB2312" w:eastAsia="仿宋_GB2312"/>
          <w:sz w:val="28"/>
          <w:szCs w:val="36"/>
        </w:rPr>
        <w:t>管理局严格按照财政部门预算编制与预算调整的工作要求，在预算编制、分配依据充分的条件下，切实做好“先定目标再编预算”，确保预算分配结果合理。同时按照预算要求，部门预算及绩效目标在特克斯县公共信息网站公开，</w:t>
      </w:r>
      <w:r>
        <w:rPr>
          <w:rFonts w:ascii="仿宋_GB2312" w:eastAsia="仿宋_GB2312"/>
          <w:sz w:val="28"/>
          <w:szCs w:val="36"/>
          <w:lang w:val="zh-CN"/>
        </w:rPr>
        <w:t>广泛接受社会监督</w:t>
      </w:r>
      <w:r>
        <w:rPr>
          <w:rFonts w:hint="eastAsia" w:ascii="仿宋_GB2312" w:eastAsia="仿宋_GB2312"/>
          <w:sz w:val="28"/>
          <w:szCs w:val="36"/>
          <w:lang w:val="zh-CN"/>
        </w:rPr>
        <w:t>。</w:t>
      </w:r>
    </w:p>
    <w:p>
      <w:pPr>
        <w:pStyle w:val="5"/>
        <w:spacing w:line="360" w:lineRule="auto"/>
        <w:ind w:firstLine="562" w:firstLineChars="200"/>
        <w:rPr>
          <w:rStyle w:val="16"/>
          <w:rFonts w:ascii="仿宋" w:hAnsi="仿宋" w:eastAsia="仿宋"/>
          <w:b/>
          <w:bCs/>
        </w:rPr>
      </w:pPr>
      <w:bookmarkStart w:id="13" w:name="_Toc70450300"/>
      <w:r>
        <w:rPr>
          <w:rStyle w:val="16"/>
          <w:rFonts w:hint="eastAsia" w:ascii="仿宋" w:hAnsi="仿宋" w:eastAsia="仿宋"/>
          <w:b/>
          <w:bCs/>
        </w:rPr>
        <w:t>2</w:t>
      </w:r>
      <w:r>
        <w:rPr>
          <w:rStyle w:val="16"/>
          <w:rFonts w:ascii="仿宋" w:hAnsi="仿宋" w:eastAsia="仿宋"/>
          <w:b/>
          <w:bCs/>
        </w:rPr>
        <w:t>、预算</w:t>
      </w:r>
      <w:r>
        <w:rPr>
          <w:rStyle w:val="16"/>
          <w:rFonts w:hint="eastAsia" w:ascii="仿宋" w:hAnsi="仿宋" w:eastAsia="仿宋"/>
          <w:b/>
          <w:bCs/>
        </w:rPr>
        <w:t>支出</w:t>
      </w:r>
      <w:r>
        <w:rPr>
          <w:rStyle w:val="16"/>
          <w:rFonts w:ascii="仿宋" w:hAnsi="仿宋" w:eastAsia="仿宋"/>
          <w:b/>
          <w:bCs/>
        </w:rPr>
        <w:t>管理</w:t>
      </w:r>
      <w:bookmarkEnd w:id="13"/>
    </w:p>
    <w:p>
      <w:pPr>
        <w:spacing w:line="360" w:lineRule="auto"/>
        <w:ind w:firstLine="560" w:firstLineChars="200"/>
        <w:rPr>
          <w:rFonts w:ascii="仿宋_GB2312" w:eastAsia="仿宋_GB2312"/>
          <w:sz w:val="28"/>
          <w:szCs w:val="36"/>
        </w:rPr>
      </w:pPr>
      <w:r>
        <w:rPr>
          <w:rFonts w:hint="eastAsia" w:ascii="仿宋_GB2312" w:eastAsia="仿宋_GB2312"/>
          <w:sz w:val="28"/>
          <w:szCs w:val="36"/>
        </w:rPr>
        <w:t>我单位特克斯县</w:t>
      </w:r>
      <w:r>
        <w:rPr>
          <w:rFonts w:hint="eastAsia" w:ascii="仿宋_GB2312" w:eastAsia="仿宋_GB2312"/>
          <w:sz w:val="28"/>
          <w:szCs w:val="36"/>
          <w:lang w:eastAsia="zh-CN"/>
        </w:rPr>
        <w:t>**</w:t>
      </w:r>
      <w:r>
        <w:rPr>
          <w:rFonts w:hint="eastAsia" w:ascii="仿宋_GB2312" w:eastAsia="仿宋_GB2312"/>
          <w:sz w:val="28"/>
          <w:szCs w:val="36"/>
        </w:rPr>
        <w:t>管理局按照财政要求基本支出分月度申报资金使用计划，由财政部门按照进度每月按期拨付，人员支出按照工资计划发放工资；依照预算部门特克斯县</w:t>
      </w:r>
      <w:r>
        <w:rPr>
          <w:rFonts w:hint="eastAsia" w:ascii="仿宋_GB2312" w:eastAsia="仿宋_GB2312"/>
          <w:sz w:val="28"/>
          <w:szCs w:val="36"/>
          <w:lang w:eastAsia="zh-CN"/>
        </w:rPr>
        <w:t>**</w:t>
      </w:r>
      <w:r>
        <w:rPr>
          <w:rFonts w:hint="eastAsia" w:ascii="仿宋_GB2312" w:eastAsia="仿宋_GB2312"/>
          <w:sz w:val="28"/>
          <w:szCs w:val="36"/>
        </w:rPr>
        <w:t>管理局《预算管理制度》相关规定和预算管理制度（部门特克斯县</w:t>
      </w:r>
      <w:r>
        <w:rPr>
          <w:rFonts w:hint="eastAsia" w:ascii="仿宋_GB2312" w:eastAsia="仿宋_GB2312"/>
          <w:sz w:val="28"/>
          <w:szCs w:val="36"/>
          <w:lang w:eastAsia="zh-CN"/>
        </w:rPr>
        <w:t>**</w:t>
      </w:r>
      <w:r>
        <w:rPr>
          <w:rFonts w:hint="eastAsia" w:ascii="仿宋_GB2312" w:eastAsia="仿宋_GB2312"/>
          <w:sz w:val="28"/>
          <w:szCs w:val="36"/>
        </w:rPr>
        <w:t>管理局）《预算管理制度》规定流程，资金支出按照我内控体系中设定的流程申报审批进行；项目支出属于政府采购的，按照局预算管理制度（部门特克斯县</w:t>
      </w:r>
      <w:r>
        <w:rPr>
          <w:rFonts w:hint="eastAsia" w:ascii="仿宋_GB2312" w:eastAsia="仿宋_GB2312"/>
          <w:sz w:val="28"/>
          <w:szCs w:val="36"/>
          <w:lang w:eastAsia="zh-CN"/>
        </w:rPr>
        <w:t>**</w:t>
      </w:r>
      <w:r>
        <w:rPr>
          <w:rFonts w:hint="eastAsia" w:ascii="仿宋_GB2312" w:eastAsia="仿宋_GB2312"/>
          <w:sz w:val="28"/>
          <w:szCs w:val="36"/>
        </w:rPr>
        <w:t>管理局）《*采购与招标管理办法》组织人员制定采购计划，按照财政局采购部门批复，进行公开招标、邀请招标等方式进行；属于非政府采购的项目，按照“三重一大”制度规定，重大项目支出上党组会研究决定。</w:t>
      </w:r>
    </w:p>
    <w:p>
      <w:pPr>
        <w:pStyle w:val="4"/>
        <w:spacing w:line="360" w:lineRule="auto"/>
        <w:rPr>
          <w:rStyle w:val="16"/>
          <w:b/>
          <w:bCs/>
          <w:sz w:val="28"/>
          <w:szCs w:val="28"/>
        </w:rPr>
      </w:pPr>
      <w:bookmarkStart w:id="14" w:name="_Toc70450301"/>
      <w:r>
        <w:rPr>
          <w:rStyle w:val="16"/>
          <w:rFonts w:hint="eastAsia"/>
          <w:b/>
          <w:bCs/>
          <w:sz w:val="28"/>
          <w:szCs w:val="28"/>
        </w:rPr>
        <w:t>（二）基本支出管理及使用情况</w:t>
      </w:r>
      <w:bookmarkEnd w:id="14"/>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2021年基本支出预算安排370.20万元，实际到位370.20万元,实际支出</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370.20</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元，占总支出的53.64％，其中：工资福利支出</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246.77</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万元、商品和服务支出</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122.71</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万元、对个人和家庭的补助0.72万元、主要用于</w:t>
      </w:r>
      <w:r>
        <w:rPr>
          <w:rStyle w:val="16"/>
          <w:rFonts w:ascii="仿宋_GB2312" w:hAnsi="楷体" w:eastAsia="仿宋_GB2312"/>
          <w:b w:val="0"/>
          <w:spacing w:val="-4"/>
          <w:sz w:val="28"/>
          <w:szCs w:val="28"/>
          <w:highlight w:val="none"/>
        </w:rPr>
        <w:t xml:space="preserve"> </w:t>
      </w:r>
      <w:r>
        <w:rPr>
          <w:rStyle w:val="16"/>
          <w:rFonts w:hint="eastAsia" w:ascii="仿宋_GB2312" w:hAnsi="楷体" w:eastAsia="仿宋_GB2312"/>
          <w:b w:val="0"/>
          <w:spacing w:val="-4"/>
          <w:sz w:val="28"/>
          <w:szCs w:val="28"/>
          <w:highlight w:val="none"/>
        </w:rPr>
        <w:t>退休人员的取暖费和独生子女补助。</w:t>
      </w:r>
      <w:r>
        <w:rPr>
          <w:rStyle w:val="16"/>
          <w:rFonts w:hint="eastAsia" w:ascii="仿宋_GB2312" w:hAnsi="楷体" w:eastAsia="仿宋_GB2312"/>
          <w:b w:val="0"/>
          <w:spacing w:val="-4"/>
          <w:sz w:val="28"/>
          <w:szCs w:val="28"/>
        </w:rPr>
        <w:t>资本性支出</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0</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万元。</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2021年基本支出比上年230.70万元,增加139.51万元，上升60.48</w:t>
      </w:r>
      <w:r>
        <w:rPr>
          <w:rStyle w:val="16"/>
          <w:rFonts w:ascii="仿宋_GB2312" w:hAnsi="宋体" w:eastAsia="仿宋_GB2312"/>
          <w:b w:val="0"/>
          <w:bCs w:val="0"/>
          <w:spacing w:val="-4"/>
          <w:sz w:val="28"/>
          <w:szCs w:val="28"/>
        </w:rPr>
        <w:t>%</w:t>
      </w:r>
      <w:r>
        <w:rPr>
          <w:rStyle w:val="16"/>
          <w:rFonts w:hint="eastAsia" w:ascii="仿宋_GB2312" w:hAnsi="楷体" w:eastAsia="仿宋_GB2312"/>
          <w:b w:val="0"/>
          <w:spacing w:val="-4"/>
          <w:sz w:val="28"/>
          <w:szCs w:val="28"/>
        </w:rPr>
        <w:t>，支出上升主要原因是</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本单位从外单位调入2人，新招聘2人</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w:t>
      </w:r>
    </w:p>
    <w:p>
      <w:pPr>
        <w:spacing w:line="360" w:lineRule="auto"/>
        <w:ind w:firstLine="492" w:firstLineChars="181"/>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年一般公共预算“三公”经费数为 0.8万元，其中：因公出国（境）费  0 万元，公务用车购置 0 万元，公务用车运行费0.8 万元，公务接待费 0万元。</w:t>
      </w:r>
    </w:p>
    <w:p>
      <w:pPr>
        <w:spacing w:line="360" w:lineRule="auto"/>
        <w:ind w:firstLine="492" w:firstLineChars="181"/>
        <w:rPr>
          <w:rStyle w:val="16"/>
          <w:rFonts w:ascii="仿宋_GB2312" w:hAnsi="楷体" w:eastAsia="仿宋_GB2312"/>
          <w:b w:val="0"/>
          <w:spacing w:val="-4"/>
          <w:sz w:val="28"/>
          <w:szCs w:val="28"/>
          <w:highlight w:val="yellow"/>
        </w:rPr>
      </w:pPr>
      <w:bookmarkStart w:id="15" w:name="_Toc70450302"/>
      <w:r>
        <w:rPr>
          <w:rStyle w:val="16"/>
          <w:rFonts w:ascii="仿宋_GB2312" w:hAnsi="楷体" w:eastAsia="仿宋_GB2312"/>
          <w:b w:val="0"/>
          <w:spacing w:val="-4"/>
          <w:sz w:val="28"/>
          <w:szCs w:val="28"/>
          <w:highlight w:val="none"/>
        </w:rPr>
        <w:t>2021</w:t>
      </w:r>
      <w:r>
        <w:rPr>
          <w:rStyle w:val="16"/>
          <w:rFonts w:hint="eastAsia" w:ascii="仿宋_GB2312" w:hAnsi="楷体" w:eastAsia="仿宋_GB2312"/>
          <w:b w:val="0"/>
          <w:spacing w:val="-4"/>
          <w:sz w:val="28"/>
          <w:szCs w:val="28"/>
          <w:highlight w:val="none"/>
        </w:rPr>
        <w:t>年一般公共预算“三公”经费比上年增加0万元，其中：因公出国（境）费增加0万元，主要原因是未安排预算；公务用车购置费为0，未安排预算。；公务用车运行费增加0</w:t>
      </w:r>
      <w:r>
        <w:rPr>
          <w:rStyle w:val="16"/>
          <w:rFonts w:ascii="仿宋_GB2312" w:hAnsi="楷体" w:eastAsia="仿宋_GB2312"/>
          <w:b w:val="0"/>
          <w:spacing w:val="-4"/>
          <w:sz w:val="28"/>
          <w:szCs w:val="28"/>
          <w:highlight w:val="none"/>
        </w:rPr>
        <w:t xml:space="preserve"> </w:t>
      </w:r>
      <w:r>
        <w:rPr>
          <w:rStyle w:val="16"/>
          <w:rFonts w:hint="eastAsia" w:ascii="仿宋_GB2312" w:hAnsi="楷体" w:eastAsia="仿宋_GB2312"/>
          <w:b w:val="0"/>
          <w:spacing w:val="-4"/>
          <w:sz w:val="28"/>
          <w:szCs w:val="28"/>
          <w:highlight w:val="none"/>
        </w:rPr>
        <w:t>万元，主要原因是与上年数据保持一致；公务接待费增加0万元，主要原因是未安排预算。</w:t>
      </w:r>
    </w:p>
    <w:p>
      <w:pPr>
        <w:pStyle w:val="4"/>
        <w:spacing w:line="360" w:lineRule="auto"/>
        <w:rPr>
          <w:rStyle w:val="16"/>
          <w:rFonts w:ascii="仿宋" w:hAnsi="仿宋" w:eastAsia="仿宋"/>
          <w:b/>
          <w:bCs/>
        </w:rPr>
      </w:pPr>
      <w:r>
        <w:rPr>
          <w:rStyle w:val="16"/>
          <w:rFonts w:hint="eastAsia" w:ascii="仿宋" w:hAnsi="仿宋" w:eastAsia="仿宋"/>
          <w:b/>
          <w:bCs/>
        </w:rPr>
        <w:t>（三）专项支出管理及使用情况</w:t>
      </w:r>
      <w:bookmarkEnd w:id="15"/>
    </w:p>
    <w:p>
      <w:pPr>
        <w:pStyle w:val="5"/>
        <w:spacing w:line="360" w:lineRule="auto"/>
        <w:ind w:firstLine="562" w:firstLineChars="200"/>
        <w:rPr>
          <w:rStyle w:val="16"/>
          <w:rFonts w:ascii="仿宋" w:hAnsi="仿宋" w:eastAsia="仿宋"/>
          <w:b/>
          <w:bCs/>
        </w:rPr>
      </w:pPr>
      <w:bookmarkStart w:id="16" w:name="_Toc70450303"/>
      <w:r>
        <w:rPr>
          <w:rStyle w:val="16"/>
          <w:rFonts w:hint="eastAsia" w:ascii="仿宋" w:hAnsi="仿宋" w:eastAsia="仿宋"/>
          <w:b/>
          <w:bCs/>
        </w:rPr>
        <w:t>1、专项资金安排落实、总投入等情况分析</w:t>
      </w:r>
      <w:bookmarkEnd w:id="16"/>
    </w:p>
    <w:p>
      <w:pPr>
        <w:spacing w:line="360" w:lineRule="auto"/>
        <w:ind w:firstLine="492" w:firstLineChars="181"/>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年预算安排专项资金</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0</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万元，实际到位0万元,</w:t>
      </w:r>
      <w:r>
        <w:rPr>
          <w:rFonts w:hint="eastAsia"/>
        </w:rPr>
        <w:t xml:space="preserve"> </w:t>
      </w:r>
      <w:r>
        <w:rPr>
          <w:rStyle w:val="16"/>
          <w:rFonts w:hint="eastAsia" w:ascii="仿宋_GB2312" w:hAnsi="楷体" w:eastAsia="仿宋_GB2312"/>
          <w:b w:val="0"/>
          <w:spacing w:val="-4"/>
          <w:sz w:val="28"/>
          <w:szCs w:val="28"/>
        </w:rPr>
        <w:t>到位率0％,其中:中央转移支付项目资金0万元，自治区资金0万元，本级安排0万元。</w:t>
      </w:r>
    </w:p>
    <w:p>
      <w:pPr>
        <w:pStyle w:val="5"/>
        <w:spacing w:line="360" w:lineRule="auto"/>
        <w:ind w:firstLine="562" w:firstLineChars="200"/>
        <w:rPr>
          <w:rStyle w:val="16"/>
          <w:rFonts w:ascii="仿宋" w:hAnsi="仿宋" w:eastAsia="仿宋"/>
          <w:b/>
          <w:bCs/>
        </w:rPr>
      </w:pPr>
      <w:bookmarkStart w:id="17" w:name="_Toc70450304"/>
      <w:r>
        <w:rPr>
          <w:rStyle w:val="16"/>
          <w:rFonts w:hint="eastAsia" w:ascii="仿宋" w:hAnsi="仿宋" w:eastAsia="仿宋"/>
          <w:b/>
          <w:bCs/>
        </w:rPr>
        <w:t>2、专项资金实际使用情况</w:t>
      </w:r>
      <w:bookmarkEnd w:id="17"/>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2021年专项资金支出0万元，占总支出的0%，其中2021年专项项目支出比上年</w:t>
      </w:r>
      <w:r>
        <w:rPr>
          <w:rStyle w:val="16"/>
          <w:rFonts w:ascii="仿宋_GB2312" w:hAnsi="楷体" w:eastAsia="仿宋_GB2312"/>
          <w:b w:val="0"/>
          <w:spacing w:val="-4"/>
          <w:sz w:val="28"/>
          <w:szCs w:val="28"/>
          <w:highlight w:val="none"/>
        </w:rPr>
        <w:t xml:space="preserve"> </w:t>
      </w:r>
      <w:r>
        <w:rPr>
          <w:rStyle w:val="16"/>
          <w:rFonts w:hint="eastAsia" w:ascii="仿宋_GB2312" w:hAnsi="楷体" w:eastAsia="仿宋_GB2312"/>
          <w:b w:val="0"/>
          <w:spacing w:val="-4"/>
          <w:sz w:val="28"/>
          <w:szCs w:val="28"/>
          <w:highlight w:val="none"/>
        </w:rPr>
        <w:t>0万元增加0</w:t>
      </w:r>
      <w:r>
        <w:rPr>
          <w:rStyle w:val="16"/>
          <w:rFonts w:ascii="仿宋_GB2312" w:hAnsi="楷体" w:eastAsia="仿宋_GB2312"/>
          <w:b w:val="0"/>
          <w:spacing w:val="-4"/>
          <w:sz w:val="28"/>
          <w:szCs w:val="28"/>
          <w:highlight w:val="none"/>
        </w:rPr>
        <w:t xml:space="preserve"> </w:t>
      </w:r>
      <w:r>
        <w:rPr>
          <w:rStyle w:val="16"/>
          <w:rFonts w:hint="eastAsia" w:ascii="仿宋_GB2312" w:hAnsi="楷体" w:eastAsia="仿宋_GB2312"/>
          <w:b w:val="0"/>
          <w:spacing w:val="-4"/>
          <w:sz w:val="28"/>
          <w:szCs w:val="28"/>
          <w:highlight w:val="none"/>
        </w:rPr>
        <w:t>万元，下降0%。支出增加的主要原因是未安排预算。</w:t>
      </w:r>
    </w:p>
    <w:p>
      <w:pPr>
        <w:pStyle w:val="5"/>
        <w:spacing w:line="360" w:lineRule="auto"/>
        <w:ind w:firstLine="562" w:firstLineChars="200"/>
        <w:rPr>
          <w:rStyle w:val="16"/>
          <w:rFonts w:ascii="仿宋" w:hAnsi="仿宋" w:eastAsia="仿宋"/>
          <w:b/>
          <w:bCs/>
        </w:rPr>
      </w:pPr>
      <w:bookmarkStart w:id="18" w:name="_Toc70450305"/>
      <w:r>
        <w:rPr>
          <w:rStyle w:val="16"/>
          <w:rFonts w:hint="eastAsia" w:ascii="仿宋" w:hAnsi="仿宋" w:eastAsia="仿宋"/>
          <w:b/>
          <w:bCs/>
        </w:rPr>
        <w:t>3、专项资金管理情况</w:t>
      </w:r>
      <w:bookmarkEnd w:id="18"/>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为规范专项资金使用，提高专项资金使用效益，我部门特克斯县</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管理局主要采取四项措施。</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一是制订专项资金管理制度；二是各专项资金建立了专帐；三是制订了项目实施方案；四是认真组织项目验收。切实确保专项资金都做到了专款专用。其中：</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（1）各项资金使用审批流程均按规定办理。涉及“三重一大”内容，严格按照规定提请局党组会审议决定，包括项目资金分配、重大项目确定、大额资金支付等。</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w:t>
      </w:r>
      <w:r>
        <w:rPr>
          <w:rStyle w:val="16"/>
          <w:rFonts w:ascii="仿宋_GB2312" w:hAnsi="楷体" w:eastAsia="仿宋_GB2312"/>
          <w:b w:val="0"/>
          <w:spacing w:val="-4"/>
          <w:sz w:val="28"/>
          <w:szCs w:val="28"/>
        </w:rPr>
        <w:t>2</w:t>
      </w:r>
      <w:r>
        <w:rPr>
          <w:rStyle w:val="16"/>
          <w:rFonts w:hint="eastAsia" w:ascii="仿宋_GB2312" w:hAnsi="楷体" w:eastAsia="仿宋_GB2312"/>
          <w:b w:val="0"/>
          <w:spacing w:val="-4"/>
          <w:sz w:val="28"/>
          <w:szCs w:val="28"/>
        </w:rPr>
        <w:t>）建立中央自然灾害补助资金专项资金专帐，做到有据可依，有据可查。</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（3）制订中央自然灾害补助资金项目实施方案，确保项目正常实施。</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（4）认真组织中央自然灾害补助资金项目验收，确保项目正常实施。</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专项资金涉及政府采购项目的，按照局《中央自然灾害采购与招标管理办法》组织人员制定采购计划，按照财政局采购部门批复，进行公开招标、邀请招标等方式进行。</w:t>
      </w:r>
    </w:p>
    <w:p>
      <w:pPr>
        <w:spacing w:line="360" w:lineRule="auto"/>
        <w:ind w:firstLine="492" w:firstLineChars="181"/>
        <w:rPr>
          <w:rStyle w:val="16"/>
          <w:rFonts w:ascii="仿宋_GB2312" w:hAnsi="楷体" w:eastAsia="仿宋_GB2312"/>
          <w:b w:val="0"/>
          <w:spacing w:val="-4"/>
          <w:sz w:val="28"/>
          <w:szCs w:val="28"/>
        </w:rPr>
      </w:pPr>
    </w:p>
    <w:p>
      <w:pPr>
        <w:pStyle w:val="3"/>
        <w:spacing w:line="360" w:lineRule="auto"/>
        <w:rPr>
          <w:rFonts w:ascii="仿宋" w:hAnsi="仿宋" w:eastAsia="仿宋"/>
          <w:sz w:val="36"/>
          <w:szCs w:val="36"/>
        </w:rPr>
      </w:pPr>
      <w:bookmarkStart w:id="19" w:name="_Toc70450306"/>
      <w:r>
        <w:rPr>
          <w:rFonts w:hint="eastAsia" w:ascii="仿宋" w:hAnsi="仿宋" w:eastAsia="仿宋"/>
          <w:sz w:val="36"/>
          <w:szCs w:val="36"/>
        </w:rPr>
        <w:t>三、部门单位专项组织实施情况</w:t>
      </w:r>
      <w:bookmarkEnd w:id="19"/>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本单位2021年度未安排项目支出预算</w:t>
      </w:r>
    </w:p>
    <w:p>
      <w:pPr>
        <w:pStyle w:val="3"/>
        <w:spacing w:line="360" w:lineRule="auto"/>
        <w:rPr>
          <w:rFonts w:ascii="仿宋" w:hAnsi="仿宋" w:eastAsia="仿宋"/>
          <w:sz w:val="36"/>
          <w:szCs w:val="36"/>
        </w:rPr>
      </w:pPr>
      <w:bookmarkStart w:id="20" w:name="_Toc70450310"/>
      <w:r>
        <w:rPr>
          <w:rFonts w:hint="eastAsia" w:ascii="仿宋" w:hAnsi="仿宋" w:eastAsia="仿宋"/>
          <w:sz w:val="36"/>
          <w:szCs w:val="36"/>
        </w:rPr>
        <w:t>四、资产管理情况</w:t>
      </w:r>
      <w:bookmarkEnd w:id="20"/>
    </w:p>
    <w:p>
      <w:pPr>
        <w:pStyle w:val="4"/>
        <w:spacing w:line="360" w:lineRule="auto"/>
        <w:rPr>
          <w:rStyle w:val="16"/>
          <w:rFonts w:ascii="仿宋" w:hAnsi="仿宋" w:eastAsia="仿宋"/>
          <w:b/>
          <w:bCs/>
        </w:rPr>
      </w:pPr>
      <w:bookmarkStart w:id="21" w:name="_Toc70450311"/>
      <w:r>
        <w:rPr>
          <w:rStyle w:val="16"/>
          <w:rFonts w:hint="eastAsia" w:ascii="仿宋" w:hAnsi="仿宋" w:eastAsia="仿宋"/>
          <w:b/>
          <w:bCs/>
        </w:rPr>
        <w:t>（一）资产配置情况</w:t>
      </w:r>
      <w:bookmarkEnd w:id="21"/>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宋体" w:eastAsia="仿宋_GB2312"/>
          <w:b w:val="0"/>
          <w:bCs w:val="0"/>
          <w:spacing w:val="-4"/>
          <w:sz w:val="28"/>
          <w:szCs w:val="28"/>
        </w:rPr>
        <w:t>2</w:t>
      </w:r>
      <w:r>
        <w:rPr>
          <w:rStyle w:val="16"/>
          <w:rFonts w:hint="eastAsia" w:ascii="仿宋_GB2312" w:hAnsi="楷体" w:eastAsia="仿宋_GB2312"/>
          <w:b w:val="0"/>
          <w:spacing w:val="-4"/>
          <w:sz w:val="28"/>
          <w:szCs w:val="28"/>
        </w:rPr>
        <w:t>021年我部门特克斯县</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管理局资产总额 123.20 万元，其中流动资产 0 万元，固定资产净值85.92万元，占固定资产净值的0%；通用设备 94.85 万元，占固定资产净值的90.58%；专用设备 0 万元，占固定资产净值的0%；其他无。</w:t>
      </w:r>
    </w:p>
    <w:p>
      <w:pPr>
        <w:pStyle w:val="4"/>
        <w:spacing w:line="360" w:lineRule="auto"/>
        <w:ind w:firstLine="544" w:firstLineChars="200"/>
        <w:rPr>
          <w:rStyle w:val="16"/>
          <w:rFonts w:ascii="仿宋_GB2312" w:hAnsi="楷体" w:eastAsia="仿宋_GB2312"/>
          <w:b w:val="0"/>
          <w:bCs/>
          <w:spacing w:val="-4"/>
          <w:sz w:val="28"/>
          <w:szCs w:val="28"/>
        </w:rPr>
      </w:pPr>
      <w:bookmarkStart w:id="22" w:name="_Toc70450312"/>
      <w:r>
        <w:rPr>
          <w:rStyle w:val="16"/>
          <w:rFonts w:hint="eastAsia" w:ascii="仿宋_GB2312" w:hAnsi="楷体" w:eastAsia="仿宋_GB2312"/>
          <w:b w:val="0"/>
          <w:bCs/>
          <w:spacing w:val="-4"/>
          <w:sz w:val="28"/>
          <w:szCs w:val="28"/>
        </w:rPr>
        <w:t>本年度流动资产0万元，比上年增加0万元，原因是：无。</w:t>
      </w:r>
    </w:p>
    <w:p>
      <w:pPr>
        <w:pStyle w:val="4"/>
        <w:spacing w:line="360" w:lineRule="auto"/>
        <w:ind w:firstLine="544" w:firstLineChars="200"/>
        <w:rPr>
          <w:rStyle w:val="16"/>
          <w:rFonts w:ascii="仿宋_GB2312" w:hAnsi="楷体" w:eastAsia="仿宋_GB2312"/>
          <w:b w:val="0"/>
          <w:bCs/>
          <w:spacing w:val="-4"/>
          <w:sz w:val="28"/>
          <w:szCs w:val="28"/>
        </w:rPr>
      </w:pPr>
      <w:r>
        <w:rPr>
          <w:rStyle w:val="16"/>
          <w:rFonts w:hint="eastAsia" w:ascii="仿宋_GB2312" w:hAnsi="楷体" w:eastAsia="仿宋_GB2312"/>
          <w:b w:val="0"/>
          <w:bCs/>
          <w:spacing w:val="-4"/>
          <w:sz w:val="28"/>
          <w:szCs w:val="28"/>
        </w:rPr>
        <w:t>本年度固定资产123.20万元，比上年增加87.33万元，原因是新购入消防大队设施 。</w:t>
      </w:r>
    </w:p>
    <w:p>
      <w:pPr>
        <w:pStyle w:val="4"/>
        <w:spacing w:line="360" w:lineRule="auto"/>
        <w:ind w:firstLine="544" w:firstLineChars="200"/>
        <w:rPr>
          <w:rStyle w:val="16"/>
          <w:rFonts w:ascii="仿宋_GB2312" w:hAnsi="楷体" w:eastAsia="仿宋_GB2312"/>
          <w:b w:val="0"/>
          <w:bCs/>
          <w:spacing w:val="-4"/>
          <w:sz w:val="28"/>
          <w:szCs w:val="28"/>
        </w:rPr>
      </w:pPr>
      <w:r>
        <w:rPr>
          <w:rStyle w:val="16"/>
          <w:rFonts w:hint="eastAsia" w:ascii="仿宋_GB2312" w:hAnsi="楷体" w:eastAsia="仿宋_GB2312"/>
          <w:b w:val="0"/>
          <w:bCs/>
          <w:spacing w:val="-4"/>
          <w:sz w:val="28"/>
          <w:szCs w:val="28"/>
        </w:rPr>
        <w:t>实际在用固定资产123.20万元，固定资产利用率100%。</w:t>
      </w:r>
    </w:p>
    <w:p>
      <w:pPr>
        <w:pStyle w:val="4"/>
        <w:spacing w:line="360" w:lineRule="auto"/>
        <w:rPr>
          <w:rStyle w:val="16"/>
          <w:rFonts w:ascii="仿宋" w:hAnsi="仿宋" w:eastAsia="仿宋"/>
          <w:b/>
          <w:bCs/>
        </w:rPr>
      </w:pPr>
      <w:r>
        <w:rPr>
          <w:rStyle w:val="16"/>
          <w:rFonts w:hint="eastAsia" w:ascii="仿宋" w:hAnsi="仿宋" w:eastAsia="仿宋"/>
          <w:b/>
          <w:bCs/>
        </w:rPr>
        <w:t>（二）资产管理情况</w:t>
      </w:r>
      <w:bookmarkEnd w:id="22"/>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spacing w:line="360" w:lineRule="auto"/>
        <w:ind w:firstLine="544" w:firstLineChars="200"/>
        <w:rPr>
          <w:rStyle w:val="16"/>
          <w:rFonts w:ascii="仿宋_GB2312" w:hAnsi="楷体" w:eastAsia="仿宋_GB2312"/>
          <w:b w:val="0"/>
          <w:spacing w:val="-4"/>
          <w:sz w:val="28"/>
          <w:szCs w:val="28"/>
        </w:rPr>
      </w:pPr>
    </w:p>
    <w:p>
      <w:pPr>
        <w:pStyle w:val="3"/>
        <w:spacing w:line="360" w:lineRule="auto"/>
        <w:rPr>
          <w:rFonts w:ascii="仿宋" w:hAnsi="仿宋" w:eastAsia="仿宋"/>
          <w:sz w:val="36"/>
          <w:szCs w:val="36"/>
        </w:rPr>
      </w:pPr>
      <w:bookmarkStart w:id="23" w:name="_Toc70450313"/>
      <w:r>
        <w:rPr>
          <w:rFonts w:hint="eastAsia" w:ascii="仿宋" w:hAnsi="仿宋" w:eastAsia="仿宋"/>
          <w:sz w:val="36"/>
          <w:szCs w:val="36"/>
        </w:rPr>
        <w:t>五、部门单位整体支出绩效情况</w:t>
      </w:r>
      <w:bookmarkEnd w:id="23"/>
    </w:p>
    <w:p>
      <w:pPr>
        <w:pStyle w:val="4"/>
        <w:spacing w:line="360" w:lineRule="auto"/>
        <w:ind w:firstLine="643" w:firstLineChars="200"/>
        <w:rPr>
          <w:rStyle w:val="16"/>
          <w:rFonts w:ascii="仿宋" w:hAnsi="仿宋" w:eastAsia="仿宋"/>
          <w:b/>
          <w:bCs/>
        </w:rPr>
      </w:pPr>
      <w:bookmarkStart w:id="24" w:name="_Toc70450314"/>
      <w:r>
        <w:rPr>
          <w:rStyle w:val="16"/>
          <w:rFonts w:hint="eastAsia" w:ascii="仿宋" w:hAnsi="仿宋" w:eastAsia="仿宋"/>
          <w:b/>
          <w:bCs/>
        </w:rPr>
        <w:t>（一）经济效益评价</w:t>
      </w:r>
      <w:bookmarkEnd w:id="24"/>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2021年度我单位年初预算安排182.36万元，年中调整507.84万元，截止12月底支出</w:t>
      </w:r>
      <w:r>
        <w:rPr>
          <w:rStyle w:val="16"/>
          <w:rFonts w:ascii="仿宋_GB2312" w:hAnsi="宋体" w:eastAsia="仿宋_GB2312"/>
          <w:b w:val="0"/>
          <w:bCs w:val="0"/>
          <w:spacing w:val="-4"/>
          <w:sz w:val="28"/>
          <w:szCs w:val="28"/>
        </w:rPr>
        <w:t xml:space="preserve"> </w:t>
      </w:r>
      <w:r>
        <w:rPr>
          <w:rStyle w:val="16"/>
          <w:rFonts w:hint="eastAsia" w:ascii="仿宋_GB2312" w:hAnsi="宋体" w:eastAsia="仿宋_GB2312"/>
          <w:b w:val="0"/>
          <w:bCs w:val="0"/>
          <w:spacing w:val="-4"/>
          <w:sz w:val="28"/>
          <w:szCs w:val="28"/>
        </w:rPr>
        <w:t>690.20</w:t>
      </w:r>
      <w:r>
        <w:rPr>
          <w:rStyle w:val="16"/>
          <w:rFonts w:ascii="仿宋_GB2312" w:hAnsi="宋体" w:eastAsia="仿宋_GB2312"/>
          <w:b w:val="0"/>
          <w:bCs w:val="0"/>
          <w:spacing w:val="-4"/>
          <w:sz w:val="28"/>
          <w:szCs w:val="28"/>
        </w:rPr>
        <w:t xml:space="preserve"> </w:t>
      </w:r>
      <w:r>
        <w:rPr>
          <w:rStyle w:val="16"/>
          <w:rFonts w:hint="eastAsia" w:ascii="仿宋_GB2312" w:hAnsi="宋体" w:eastAsia="仿宋_GB2312"/>
          <w:b w:val="0"/>
          <w:bCs w:val="0"/>
          <w:spacing w:val="-4"/>
          <w:sz w:val="28"/>
          <w:szCs w:val="28"/>
        </w:rPr>
        <w:t>万元，执行率100%。</w:t>
      </w:r>
    </w:p>
    <w:p>
      <w:pPr>
        <w:spacing w:line="360" w:lineRule="auto"/>
        <w:ind w:firstLine="544" w:firstLineChars="200"/>
        <w:rPr>
          <w:rStyle w:val="16"/>
          <w:rFonts w:ascii="仿宋_GB2312" w:hAnsi="宋体" w:eastAsia="仿宋_GB2312"/>
          <w:b w:val="0"/>
          <w:bCs w:val="0"/>
          <w:spacing w:val="-4"/>
          <w:sz w:val="28"/>
          <w:szCs w:val="28"/>
        </w:rPr>
      </w:pPr>
      <w:r>
        <w:rPr>
          <w:rStyle w:val="16"/>
          <w:rFonts w:ascii="仿宋_GB2312" w:hAnsi="宋体" w:eastAsia="仿宋_GB2312"/>
          <w:b w:val="0"/>
          <w:bCs w:val="0"/>
          <w:spacing w:val="-4"/>
          <w:sz w:val="28"/>
          <w:szCs w:val="28"/>
        </w:rPr>
        <w:t>1</w:t>
      </w:r>
      <w:r>
        <w:rPr>
          <w:rStyle w:val="16"/>
          <w:rFonts w:hint="eastAsia" w:ascii="仿宋_GB2312" w:hAnsi="宋体" w:eastAsia="仿宋_GB2312"/>
          <w:b w:val="0"/>
          <w:bCs w:val="0"/>
          <w:spacing w:val="-4"/>
          <w:sz w:val="28"/>
          <w:szCs w:val="28"/>
        </w:rPr>
        <w:t>、预算资金执行过程中均按照年初预算分配情况均做到专款专用，未出现资金侵、挪占情况。</w:t>
      </w:r>
    </w:p>
    <w:p>
      <w:pPr>
        <w:spacing w:line="360" w:lineRule="auto"/>
        <w:ind w:firstLine="544" w:firstLineChars="200"/>
        <w:rPr>
          <w:rStyle w:val="16"/>
          <w:rFonts w:ascii="仿宋_GB2312" w:hAnsi="宋体" w:eastAsia="仿宋_GB2312"/>
          <w:b w:val="0"/>
          <w:bCs w:val="0"/>
          <w:spacing w:val="-4"/>
          <w:sz w:val="28"/>
          <w:szCs w:val="28"/>
        </w:rPr>
      </w:pPr>
      <w:r>
        <w:rPr>
          <w:rStyle w:val="16"/>
          <w:rFonts w:ascii="仿宋_GB2312" w:hAnsi="宋体" w:eastAsia="仿宋_GB2312"/>
          <w:b w:val="0"/>
          <w:bCs w:val="0"/>
          <w:spacing w:val="-4"/>
          <w:sz w:val="28"/>
          <w:szCs w:val="28"/>
        </w:rPr>
        <w:t>2</w:t>
      </w:r>
      <w:r>
        <w:rPr>
          <w:rStyle w:val="16"/>
          <w:rFonts w:hint="eastAsia" w:ascii="仿宋_GB2312" w:hAnsi="宋体" w:eastAsia="仿宋_GB2312"/>
          <w:b w:val="0"/>
          <w:bCs w:val="0"/>
          <w:spacing w:val="-4"/>
          <w:sz w:val="28"/>
          <w:szCs w:val="28"/>
        </w:rPr>
        <w:t>、全年按照部门预算进行成本控制，全部控制在厉行节约指标数内。其他支出按财政部门下达的计划实施，全年没有项目超支。</w:t>
      </w:r>
    </w:p>
    <w:p>
      <w:pPr>
        <w:pStyle w:val="4"/>
        <w:spacing w:line="360" w:lineRule="auto"/>
        <w:ind w:firstLine="643" w:firstLineChars="200"/>
        <w:rPr>
          <w:rStyle w:val="16"/>
          <w:rFonts w:ascii="仿宋" w:hAnsi="仿宋" w:eastAsia="仿宋"/>
          <w:b/>
          <w:bCs/>
          <w:highlight w:val="none"/>
        </w:rPr>
      </w:pPr>
      <w:bookmarkStart w:id="25" w:name="_Toc70450315"/>
      <w:r>
        <w:rPr>
          <w:rStyle w:val="16"/>
          <w:rFonts w:hint="eastAsia" w:ascii="仿宋" w:hAnsi="仿宋" w:eastAsia="仿宋"/>
          <w:b/>
          <w:bCs/>
        </w:rPr>
        <w:t>（</w:t>
      </w:r>
      <w:r>
        <w:rPr>
          <w:rStyle w:val="16"/>
          <w:rFonts w:hint="eastAsia" w:ascii="仿宋" w:hAnsi="仿宋" w:eastAsia="仿宋"/>
          <w:b/>
          <w:bCs/>
          <w:highlight w:val="none"/>
        </w:rPr>
        <w:t>二）效率性评价</w:t>
      </w:r>
      <w:bookmarkEnd w:id="25"/>
    </w:p>
    <w:p>
      <w:pPr>
        <w:pStyle w:val="4"/>
        <w:spacing w:line="360" w:lineRule="auto"/>
        <w:ind w:firstLine="544" w:firstLineChars="200"/>
        <w:rPr>
          <w:rStyle w:val="16"/>
          <w:rFonts w:hint="eastAsia" w:ascii="仿宋_GB2312" w:hAnsi="宋体" w:eastAsia="仿宋_GB2312"/>
          <w:b w:val="0"/>
          <w:bCs w:val="0"/>
          <w:spacing w:val="-4"/>
          <w:sz w:val="28"/>
          <w:szCs w:val="28"/>
          <w:highlight w:val="none"/>
        </w:rPr>
      </w:pPr>
      <w:bookmarkStart w:id="26" w:name="_Toc70450316"/>
      <w:r>
        <w:rPr>
          <w:rStyle w:val="16"/>
          <w:rFonts w:hint="eastAsia" w:ascii="仿宋_GB2312" w:hAnsi="宋体" w:eastAsia="仿宋_GB2312"/>
          <w:b w:val="0"/>
          <w:bCs w:val="0"/>
          <w:spacing w:val="-4"/>
          <w:sz w:val="28"/>
          <w:szCs w:val="28"/>
          <w:highlight w:val="none"/>
        </w:rPr>
        <w:t>2021年，在特克斯县委的大力支持和的正确领导下，</w:t>
      </w:r>
      <w:r>
        <w:rPr>
          <w:rStyle w:val="16"/>
          <w:rFonts w:hint="eastAsia" w:ascii="仿宋_GB2312" w:hAnsi="宋体" w:eastAsia="仿宋_GB2312"/>
          <w:b w:val="0"/>
          <w:bCs w:val="0"/>
          <w:spacing w:val="-4"/>
          <w:sz w:val="28"/>
          <w:szCs w:val="28"/>
          <w:highlight w:val="none"/>
          <w:lang w:eastAsia="zh-CN"/>
        </w:rPr>
        <w:t>**</w:t>
      </w:r>
      <w:r>
        <w:rPr>
          <w:rStyle w:val="16"/>
          <w:rFonts w:hint="eastAsia" w:ascii="仿宋_GB2312" w:hAnsi="宋体" w:eastAsia="仿宋_GB2312"/>
          <w:b w:val="0"/>
          <w:bCs w:val="0"/>
          <w:spacing w:val="-4"/>
          <w:sz w:val="28"/>
          <w:szCs w:val="28"/>
          <w:highlight w:val="none"/>
        </w:rPr>
        <w:t>管理局我单位迎难而上、务实重干，积极推动各项工作取得了新的进展，为促进经济持续健康发展与社会和谐稳定提供了有力的支撑和保障。</w:t>
      </w:r>
    </w:p>
    <w:p>
      <w:pPr>
        <w:pStyle w:val="4"/>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1、圆满完成2021年各项工作</w:t>
      </w:r>
    </w:p>
    <w:p>
      <w:pPr>
        <w:pStyle w:val="4"/>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今年以来，深入贯彻落实习近平总书记关于安全生产工作的重要论述和批示指示精神，坚持生命至上、人民至上、安全发展的理念，深入推进自治区党委“3+1”重点工作安排部署，坚持问题导向，狠抓工作落实，突出重点，严密防范重大安全风险，全力以赴做好特克斯县安全生产工作。</w:t>
      </w:r>
    </w:p>
    <w:p>
      <w:pPr>
        <w:pStyle w:val="4"/>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2、各项目工作任务提前完成</w:t>
      </w:r>
    </w:p>
    <w:p>
      <w:pPr>
        <w:pStyle w:val="4"/>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牢记生命至上、人民至上、安全发展的理念。突出政治过硬，站稳政治立场。突出思想过硬，坚持学思践悟。突出党史学习教育，坚持使命在肩。县委各项工作提前完成。</w:t>
      </w:r>
    </w:p>
    <w:p>
      <w:pPr>
        <w:pStyle w:val="4"/>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3、各项工作成效显著</w:t>
      </w:r>
    </w:p>
    <w:p>
      <w:pPr>
        <w:pStyle w:val="4"/>
        <w:spacing w:line="360" w:lineRule="auto"/>
        <w:ind w:firstLine="544" w:firstLineChars="200"/>
        <w:rPr>
          <w:rStyle w:val="16"/>
          <w:rFonts w:hint="eastAsia" w:ascii="仿宋_GB2312" w:hAnsi="宋体" w:eastAsia="仿宋_GB2312" w:cs="Times New Roman"/>
          <w:b w:val="0"/>
          <w:bCs w:val="0"/>
          <w:spacing w:val="-4"/>
          <w:sz w:val="28"/>
          <w:szCs w:val="28"/>
        </w:rPr>
      </w:pPr>
      <w:r>
        <w:rPr>
          <w:rStyle w:val="16"/>
          <w:rFonts w:hint="eastAsia" w:ascii="仿宋_GB2312" w:hAnsi="宋体" w:eastAsia="仿宋_GB2312" w:cs="Times New Roman"/>
          <w:b w:val="0"/>
          <w:bCs w:val="0"/>
          <w:spacing w:val="-4"/>
          <w:sz w:val="28"/>
          <w:szCs w:val="28"/>
        </w:rPr>
        <w:t>“五·一”“中秋”“国庆”期间，共检查企业1066家次（含个体），发现隐患问题310条，已整改310条，下发督查督办6份，下发执法文书3份。自治区党代会和中央十九届六中全会召开期间，4个综合督导组、23个乡镇、行业专项检查组深入企业、各重点场所、区域进行安全检查，共查出隐患23条，立查立改18条，限期整改5条，下发执法文书3份，截止目前限期整改已整改完毕</w:t>
      </w:r>
    </w:p>
    <w:p>
      <w:pPr>
        <w:pStyle w:val="4"/>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4、县委</w:t>
      </w:r>
      <w:r>
        <w:rPr>
          <w:rStyle w:val="16"/>
          <w:rFonts w:hint="eastAsia" w:ascii="仿宋_GB2312" w:hAnsi="宋体" w:eastAsia="仿宋_GB2312"/>
          <w:b w:val="0"/>
          <w:bCs w:val="0"/>
          <w:spacing w:val="-4"/>
          <w:sz w:val="28"/>
          <w:szCs w:val="28"/>
          <w:lang w:eastAsia="zh-CN"/>
        </w:rPr>
        <w:t>**</w:t>
      </w:r>
      <w:r>
        <w:rPr>
          <w:rStyle w:val="16"/>
          <w:rFonts w:hint="eastAsia" w:ascii="仿宋_GB2312" w:hAnsi="宋体" w:eastAsia="仿宋_GB2312"/>
          <w:b w:val="0"/>
          <w:bCs w:val="0"/>
          <w:spacing w:val="-4"/>
          <w:sz w:val="28"/>
          <w:szCs w:val="28"/>
        </w:rPr>
        <w:t>管理各项工作全面达标，群众满意度高</w:t>
      </w:r>
    </w:p>
    <w:p>
      <w:pPr>
        <w:pStyle w:val="4"/>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cs="Times New Roman"/>
          <w:b w:val="0"/>
          <w:bCs w:val="0"/>
          <w:spacing w:val="-4"/>
          <w:sz w:val="28"/>
          <w:szCs w:val="28"/>
        </w:rPr>
        <w:t>站在“两个一百年”历史交汇点，必须对标习近平总书记强调的“坚持绝对忠诚的政治品格、坚持高度自觉的大局意识、坚持极端负责的工作作风、坚持无怨无悔的奉献精神、坚持廉洁自律的道德操守”“五个坚持”的核心要求，努力锻造一支高素质党办队伍。</w:t>
      </w:r>
    </w:p>
    <w:p>
      <w:pPr>
        <w:pStyle w:val="4"/>
        <w:spacing w:line="360" w:lineRule="auto"/>
        <w:ind w:firstLine="643" w:firstLineChars="200"/>
        <w:rPr>
          <w:rStyle w:val="16"/>
          <w:rFonts w:ascii="仿宋" w:hAnsi="仿宋" w:eastAsia="仿宋"/>
          <w:b/>
          <w:bCs/>
        </w:rPr>
      </w:pPr>
      <w:r>
        <w:rPr>
          <w:rStyle w:val="16"/>
          <w:rFonts w:hint="eastAsia" w:ascii="仿宋" w:hAnsi="仿宋" w:eastAsia="仿宋"/>
          <w:b/>
          <w:bCs/>
        </w:rPr>
        <w:t>（三）有效性评价</w:t>
      </w:r>
      <w:bookmarkEnd w:id="26"/>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2021年部门支出的有效性主要体现在我单位各项工作成效上，一是财政领导进一步夯实，二是财务人员能力进一步提升，三是绩效进一步改善，四是绩效水平进一步提高，五是绩效平台进一步推进，细情况如下：</w:t>
      </w:r>
    </w:p>
    <w:p>
      <w:pPr>
        <w:snapToGrid w:val="0"/>
        <w:spacing w:line="360" w:lineRule="auto"/>
        <w:ind w:firstLine="544" w:firstLineChars="200"/>
        <w:rPr>
          <w:rStyle w:val="16"/>
          <w:rFonts w:ascii="仿宋_GB2312" w:eastAsia="仿宋_GB2312" w:hAnsiTheme="minorEastAsia"/>
          <w:b w:val="0"/>
          <w:spacing w:val="-4"/>
          <w:sz w:val="28"/>
          <w:szCs w:val="28"/>
        </w:rPr>
      </w:pPr>
      <w:r>
        <w:rPr>
          <w:rStyle w:val="16"/>
          <w:rFonts w:hint="eastAsia" w:ascii="仿宋_GB2312" w:eastAsia="仿宋_GB2312" w:hAnsiTheme="minorEastAsia"/>
          <w:b w:val="0"/>
          <w:spacing w:val="-4"/>
          <w:sz w:val="28"/>
          <w:szCs w:val="28"/>
        </w:rPr>
        <w:t>保证单位财政供养人员基本工资、津贴补贴、艰边补助预算的收支，保证单位工作正常开展和各项任务顺利完成。特克斯县</w:t>
      </w:r>
      <w:r>
        <w:rPr>
          <w:rStyle w:val="16"/>
          <w:rFonts w:hint="eastAsia" w:ascii="仿宋_GB2312" w:eastAsia="仿宋_GB2312" w:hAnsiTheme="minorEastAsia"/>
          <w:b w:val="0"/>
          <w:spacing w:val="-4"/>
          <w:sz w:val="28"/>
          <w:szCs w:val="28"/>
          <w:lang w:eastAsia="zh-CN"/>
        </w:rPr>
        <w:t>**</w:t>
      </w:r>
      <w:r>
        <w:rPr>
          <w:rStyle w:val="16"/>
          <w:rFonts w:hint="eastAsia" w:ascii="仿宋_GB2312" w:eastAsia="仿宋_GB2312" w:hAnsiTheme="minorEastAsia"/>
          <w:b w:val="0"/>
          <w:spacing w:val="-4"/>
          <w:sz w:val="28"/>
          <w:szCs w:val="28"/>
        </w:rPr>
        <w:t>管理局部门单位整体绩效目标共设置一级指标 3 个，二级指标 6个，三级指标 9 个，详细说明如下</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1</w:t>
      </w:r>
      <w:r>
        <w:rPr>
          <w:rStyle w:val="16"/>
          <w:rFonts w:hint="eastAsia" w:ascii="仿宋_GB2312" w:hAnsi="宋体" w:eastAsia="仿宋_GB2312"/>
          <w:b w:val="0"/>
          <w:spacing w:val="-4"/>
          <w:sz w:val="28"/>
          <w:szCs w:val="28"/>
        </w:rPr>
        <w:t>、数量指标：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 在职人数 ，指标值：=16人  ，实际完成值：16人 ，指标完成率100%；</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：退休人数 ，指标值：=4人 ，实际完成值：4人 ，指标完成率100%；</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、质量指标：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指标1：工资及社保发放准确率 ，指标值：=100%，实际完成值：100% ；指标完成率100%；</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3</w:t>
      </w:r>
      <w:r>
        <w:rPr>
          <w:rStyle w:val="16"/>
          <w:rFonts w:hint="eastAsia" w:ascii="仿宋_GB2312" w:hAnsi="宋体" w:eastAsia="仿宋_GB2312"/>
          <w:b w:val="0"/>
          <w:spacing w:val="-4"/>
          <w:sz w:val="28"/>
          <w:szCs w:val="28"/>
        </w:rPr>
        <w:t>、时效指标：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指标1：人员工资及福利发放及时性，指标值：=100%  ，实际完成值：100%，指标完成率100%；</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4</w:t>
      </w:r>
      <w:r>
        <w:rPr>
          <w:rStyle w:val="16"/>
          <w:rFonts w:hint="eastAsia" w:ascii="仿宋_GB2312" w:hAnsi="宋体" w:eastAsia="仿宋_GB2312"/>
          <w:b w:val="0"/>
          <w:spacing w:val="-4"/>
          <w:sz w:val="28"/>
          <w:szCs w:val="28"/>
        </w:rPr>
        <w:t>、成本指标：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指标1：人均工资支出，指标值：≤10万元  ，实际完成值：10万元，指标完成率100%；</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：人均运转经费数，指标值：≤2300元，实际完成值：2300元  ，指标完成率100%；</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5、社会效益指标：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指标1：保障周边居民生命财产安全，指标值：有效保障，实际完成值：有效保障，指标完成率100%；</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6、满意度指标：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指标1：干部职工满意度 ，指标值：=100%，实际完成值：100% ，指标完成率100%；</w:t>
      </w:r>
    </w:p>
    <w:p>
      <w:pPr>
        <w:snapToGrid w:val="0"/>
        <w:spacing w:line="360" w:lineRule="auto"/>
        <w:ind w:firstLine="544" w:firstLineChars="200"/>
        <w:rPr>
          <w:rStyle w:val="16"/>
          <w:rFonts w:ascii="仿宋_GB2312" w:hAnsi="宋体" w:eastAsia="仿宋_GB2312"/>
          <w:b w:val="0"/>
          <w:bCs w:val="0"/>
          <w:color w:val="FF000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：周边居民满意度，指标值：≥98%，实际完成值：98%，指标完成率100%。</w:t>
      </w:r>
    </w:p>
    <w:p>
      <w:pPr>
        <w:pStyle w:val="3"/>
        <w:numPr>
          <w:ilvl w:val="0"/>
          <w:numId w:val="1"/>
        </w:numPr>
        <w:spacing w:line="360" w:lineRule="auto"/>
        <w:rPr>
          <w:rFonts w:ascii="仿宋" w:hAnsi="仿宋" w:eastAsia="仿宋"/>
          <w:sz w:val="36"/>
          <w:szCs w:val="36"/>
        </w:rPr>
      </w:pPr>
      <w:bookmarkStart w:id="27" w:name="_Toc70450317"/>
      <w:r>
        <w:rPr>
          <w:rFonts w:hint="eastAsia" w:ascii="仿宋" w:hAnsi="仿宋" w:eastAsia="仿宋"/>
          <w:sz w:val="36"/>
          <w:szCs w:val="36"/>
        </w:rPr>
        <w:t>存在的主要问题</w:t>
      </w:r>
      <w:bookmarkEnd w:id="27"/>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(一)预算执行存在偏差</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1.由于个别项目指标到第四季度下达，在预算执行中造成个别预算子项调剂现象；对个别项目资金使用方面预算不够细致，出现实际支出数超出了预算申报数或出现项目资金结余数额多的情况，导致调剂频繁，缺乏预算编制的科学性。</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2.项目细化管理工作不足。预算执行存在偏差。由于个别项目指标到第四季度下达，在预算执行中造成个别预算子项调剂现象；对个别项目资金使用方面预算不够细致，出现实际支出数超出了预算申报数或出现项目资金结余数额多的情况，导致调剂频繁，缺乏预算编制的科学性。</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3.预算绩效管理水平仍有欠缺。在预算绩效管理工作中，存在“重投入轻管理、重支出轻绩效”的情况，对全面实施预算绩效管理的要求认识还不到位，项目申报、实施等环节与预算绩效管理各个环节联系不够紧密。</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4.固定资产管理水平有待提高。固定资产台账未及时与账面资产金额对账且末与实物进行清点及及时清理处置报废资产导致资产台账与账面资产金额存在差异,固定资产管理继续加强中。</w:t>
      </w:r>
    </w:p>
    <w:p>
      <w:pPr>
        <w:snapToGrid w:val="0"/>
        <w:spacing w:line="360" w:lineRule="auto"/>
        <w:ind w:firstLine="544" w:firstLineChars="200"/>
        <w:rPr>
          <w:rStyle w:val="16"/>
          <w:rFonts w:ascii="仿宋_GB2312" w:hAnsi="宋体" w:eastAsia="仿宋_GB2312"/>
          <w:b w:val="0"/>
          <w:spacing w:val="-4"/>
          <w:sz w:val="28"/>
          <w:szCs w:val="28"/>
        </w:rPr>
      </w:pPr>
    </w:p>
    <w:p>
      <w:pPr>
        <w:pStyle w:val="3"/>
        <w:spacing w:line="360" w:lineRule="auto"/>
        <w:rPr>
          <w:rFonts w:ascii="仿宋" w:hAnsi="仿宋" w:eastAsia="仿宋"/>
          <w:sz w:val="36"/>
          <w:szCs w:val="36"/>
        </w:rPr>
      </w:pPr>
      <w:bookmarkStart w:id="28" w:name="_Toc70450318"/>
      <w:r>
        <w:rPr>
          <w:rFonts w:hint="eastAsia" w:ascii="仿宋" w:hAnsi="仿宋" w:eastAsia="仿宋"/>
          <w:sz w:val="36"/>
          <w:szCs w:val="36"/>
        </w:rPr>
        <w:t>七、改进措施和建议</w:t>
      </w:r>
      <w:bookmarkEnd w:id="28"/>
    </w:p>
    <w:p>
      <w:pPr>
        <w:spacing w:line="360" w:lineRule="auto"/>
      </w:pPr>
    </w:p>
    <w:p>
      <w:pPr>
        <w:pStyle w:val="4"/>
        <w:numPr>
          <w:ilvl w:val="0"/>
          <w:numId w:val="2"/>
        </w:numPr>
        <w:spacing w:line="360" w:lineRule="auto"/>
        <w:rPr>
          <w:rStyle w:val="16"/>
          <w:rFonts w:ascii="仿宋" w:hAnsi="仿宋" w:eastAsia="仿宋"/>
          <w:b/>
          <w:bCs/>
        </w:rPr>
      </w:pPr>
      <w:bookmarkStart w:id="29" w:name="_Toc70450319"/>
      <w:r>
        <w:rPr>
          <w:rStyle w:val="16"/>
          <w:rFonts w:hint="eastAsia" w:ascii="仿宋" w:hAnsi="仿宋" w:eastAsia="仿宋"/>
          <w:b/>
          <w:bCs/>
        </w:rPr>
        <w:t>改进措施</w:t>
      </w:r>
      <w:bookmarkEnd w:id="29"/>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1.加强新行政单位会计制度和新预算法学习培训、规范账务处理，加强新《预算法》、《行政单位会计制度》 、《会计法》 、《行政单位财务规则》等学习培训,规范部门预算收支核算。 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2.完善管理制度,进-步加强资产管理。严格按照《固定资产管理办法》的规定，加强固定资产管理,及时登记、更新台账，加强资产卡片管理,对各类实物资产进行全面盘点,确保账账、账实相符。</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3.加强学习。进一步明确如何参照考核体系，科学合理设定绩效目标，充分发挥预算绩效管理工作效用。</w:t>
      </w:r>
    </w:p>
    <w:p>
      <w:pPr>
        <w:spacing w:line="360" w:lineRule="auto"/>
        <w:rPr>
          <w:rFonts w:ascii="仿宋" w:hAnsi="仿宋" w:eastAsia="仿宋"/>
          <w:sz w:val="22"/>
          <w:szCs w:val="28"/>
        </w:rPr>
      </w:pPr>
    </w:p>
    <w:p>
      <w:pPr>
        <w:pStyle w:val="4"/>
        <w:numPr>
          <w:ilvl w:val="0"/>
          <w:numId w:val="2"/>
        </w:numPr>
        <w:spacing w:line="360" w:lineRule="auto"/>
        <w:rPr>
          <w:rStyle w:val="16"/>
          <w:rFonts w:ascii="仿宋" w:hAnsi="仿宋" w:eastAsia="仿宋"/>
          <w:b/>
          <w:bCs/>
        </w:rPr>
      </w:pPr>
      <w:bookmarkStart w:id="30" w:name="_Toc70450320"/>
      <w:r>
        <w:rPr>
          <w:rStyle w:val="16"/>
          <w:rFonts w:hint="eastAsia" w:ascii="仿宋" w:hAnsi="仿宋" w:eastAsia="仿宋"/>
          <w:b/>
          <w:bCs/>
        </w:rPr>
        <w:t>建议</w:t>
      </w:r>
      <w:bookmarkEnd w:id="30"/>
    </w:p>
    <w:p>
      <w:pPr>
        <w:snapToGrid w:val="0"/>
        <w:spacing w:line="360" w:lineRule="auto"/>
        <w:ind w:firstLine="544" w:firstLineChars="200"/>
        <w:rPr>
          <w:rStyle w:val="16"/>
          <w:rFonts w:ascii="仿宋_GB2312" w:hAnsi="宋体" w:eastAsia="仿宋_GB2312" w:cs="Times New Roman"/>
          <w:b w:val="0"/>
          <w:spacing w:val="-4"/>
          <w:sz w:val="28"/>
          <w:szCs w:val="28"/>
        </w:rPr>
      </w:pPr>
      <w:r>
        <w:rPr>
          <w:rStyle w:val="16"/>
          <w:rFonts w:hint="eastAsia" w:ascii="仿宋_GB2312" w:hAnsi="宋体" w:eastAsia="仿宋_GB2312" w:cs="Times New Roman"/>
          <w:b w:val="0"/>
          <w:spacing w:val="-4"/>
          <w:sz w:val="28"/>
          <w:szCs w:val="28"/>
        </w:rPr>
        <w:t>1.财务上，会计核算应该更加详细，为本单位各项工作的开展、总结、评估提供有效数据资料支撑,为各项业务工作更好的开展提供帮助。</w:t>
      </w:r>
    </w:p>
    <w:p>
      <w:pPr>
        <w:snapToGrid w:val="0"/>
        <w:spacing w:line="360" w:lineRule="auto"/>
        <w:ind w:firstLine="544" w:firstLineChars="200"/>
        <w:rPr>
          <w:rStyle w:val="16"/>
          <w:rFonts w:ascii="仿宋_GB2312" w:hAnsi="宋体" w:eastAsia="仿宋_GB2312" w:cs="Times New Roman"/>
          <w:b w:val="0"/>
          <w:spacing w:val="-4"/>
          <w:sz w:val="28"/>
          <w:szCs w:val="28"/>
        </w:rPr>
      </w:pPr>
      <w:r>
        <w:rPr>
          <w:rStyle w:val="16"/>
          <w:rFonts w:hint="eastAsia" w:ascii="仿宋_GB2312" w:hAnsi="宋体" w:eastAsia="仿宋_GB2312" w:cs="Times New Roman"/>
          <w:b w:val="0"/>
          <w:spacing w:val="-4"/>
          <w:sz w:val="28"/>
          <w:szCs w:val="28"/>
        </w:rPr>
        <w:t>2.应从源头上强化对专项资金预算管理。实行专项资金预算管理，结合单位实际, 按轻重缓急统筹安排编制预算,提高预算编制科学性和合理性,优化资金结构。</w:t>
      </w:r>
    </w:p>
    <w:p>
      <w:pPr>
        <w:snapToGrid w:val="0"/>
        <w:spacing w:line="360" w:lineRule="auto"/>
        <w:ind w:firstLine="544" w:firstLineChars="200"/>
        <w:rPr>
          <w:rStyle w:val="16"/>
          <w:rFonts w:ascii="仿宋_GB2312" w:hAnsi="宋体" w:eastAsia="仿宋_GB2312" w:cs="Times New Roman"/>
          <w:b w:val="0"/>
          <w:spacing w:val="-4"/>
          <w:sz w:val="28"/>
          <w:szCs w:val="28"/>
        </w:rPr>
      </w:pPr>
      <w:r>
        <w:rPr>
          <w:rStyle w:val="16"/>
          <w:rFonts w:hint="eastAsia" w:ascii="仿宋_GB2312" w:hAnsi="宋体" w:eastAsia="仿宋_GB2312" w:cs="Times New Roman"/>
          <w:b w:val="0"/>
          <w:spacing w:val="-4"/>
          <w:sz w:val="28"/>
          <w:szCs w:val="28"/>
        </w:rPr>
        <w:t>3.建议按时间进度分解资金使用计划。专项资金的使用，要事前做计划，事中进行控制，事后总结提高。合理安排资金使用,充分体现资金投向的目标和效益。</w:t>
      </w:r>
    </w:p>
    <w:p>
      <w:pPr>
        <w:snapToGrid w:val="0"/>
        <w:spacing w:line="360" w:lineRule="auto"/>
        <w:ind w:firstLine="544" w:firstLineChars="200"/>
        <w:rPr>
          <w:rStyle w:val="16"/>
          <w:rFonts w:ascii="仿宋_GB2312" w:hAnsi="宋体" w:eastAsia="仿宋_GB2312" w:cs="Times New Roman"/>
          <w:b w:val="0"/>
          <w:spacing w:val="-4"/>
          <w:sz w:val="28"/>
          <w:szCs w:val="28"/>
        </w:rPr>
      </w:pPr>
      <w:r>
        <w:rPr>
          <w:rStyle w:val="16"/>
          <w:rFonts w:hint="eastAsia" w:ascii="仿宋_GB2312" w:hAnsi="宋体" w:eastAsia="仿宋_GB2312" w:cs="Times New Roman"/>
          <w:b w:val="0"/>
          <w:spacing w:val="-4"/>
          <w:sz w:val="28"/>
          <w:szCs w:val="28"/>
        </w:rPr>
        <w:t>4.绩效管理水平应进一步提高。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spacing w:line="360" w:lineRule="auto"/>
      </w:pPr>
    </w:p>
    <w:p>
      <w:pPr>
        <w:pStyle w:val="3"/>
        <w:spacing w:line="360" w:lineRule="auto"/>
        <w:rPr>
          <w:rStyle w:val="16"/>
          <w:rFonts w:ascii="仿宋" w:hAnsi="仿宋" w:eastAsia="仿宋"/>
          <w:b/>
          <w:bCs/>
          <w:sz w:val="36"/>
          <w:szCs w:val="36"/>
        </w:rPr>
      </w:pPr>
      <w:bookmarkStart w:id="31" w:name="_Toc70450321"/>
      <w:r>
        <w:rPr>
          <w:rStyle w:val="16"/>
          <w:rFonts w:hint="eastAsia" w:ascii="仿宋" w:hAnsi="仿宋" w:eastAsia="仿宋"/>
          <w:b/>
          <w:bCs/>
          <w:sz w:val="36"/>
          <w:szCs w:val="36"/>
        </w:rPr>
        <w:t>八、附表</w:t>
      </w:r>
      <w:r>
        <w:rPr>
          <w:rStyle w:val="16"/>
          <w:rFonts w:hint="eastAsia" w:ascii="仿宋" w:hAnsi="仿宋" w:eastAsia="仿宋"/>
          <w:b w:val="0"/>
          <w:bCs w:val="0"/>
          <w:spacing w:val="-4"/>
          <w:sz w:val="36"/>
          <w:szCs w:val="36"/>
        </w:rPr>
        <w:t>：</w:t>
      </w:r>
      <w:bookmarkStart w:id="32" w:name="_Hlk70450148"/>
      <w:r>
        <w:rPr>
          <w:rStyle w:val="16"/>
          <w:rFonts w:hint="eastAsia" w:ascii="仿宋" w:hAnsi="仿宋" w:eastAsia="仿宋"/>
          <w:b/>
          <w:bCs/>
          <w:sz w:val="36"/>
          <w:szCs w:val="36"/>
        </w:rPr>
        <w:t>《部门整体支出绩效目标自评表》</w:t>
      </w:r>
      <w:bookmarkEnd w:id="31"/>
      <w:bookmarkEnd w:id="32"/>
    </w:p>
    <w:p>
      <w:r>
        <w:br w:type="page"/>
      </w:r>
    </w:p>
    <w:tbl>
      <w:tblPr>
        <w:tblStyle w:val="14"/>
        <w:tblW w:w="9075" w:type="dxa"/>
        <w:tblInd w:w="0" w:type="dxa"/>
        <w:tblLayout w:type="fixed"/>
        <w:tblCellMar>
          <w:top w:w="0" w:type="dxa"/>
          <w:left w:w="0" w:type="dxa"/>
          <w:bottom w:w="0" w:type="dxa"/>
          <w:right w:w="0" w:type="dxa"/>
        </w:tblCellMar>
      </w:tblPr>
      <w:tblGrid>
        <w:gridCol w:w="809"/>
        <w:gridCol w:w="1231"/>
        <w:gridCol w:w="1835"/>
        <w:gridCol w:w="866"/>
        <w:gridCol w:w="867"/>
        <w:gridCol w:w="867"/>
        <w:gridCol w:w="866"/>
        <w:gridCol w:w="433"/>
        <w:gridCol w:w="434"/>
        <w:gridCol w:w="867"/>
      </w:tblGrid>
      <w:tr>
        <w:tblPrEx>
          <w:tblLayout w:type="fixed"/>
          <w:tblCellMar>
            <w:top w:w="0" w:type="dxa"/>
            <w:left w:w="0" w:type="dxa"/>
            <w:bottom w:w="0" w:type="dxa"/>
            <w:right w:w="0" w:type="dxa"/>
          </w:tblCellMar>
        </w:tblPrEx>
        <w:trPr>
          <w:trHeight w:val="816" w:hRule="atLeast"/>
        </w:trPr>
        <w:tc>
          <w:tcPr>
            <w:tcW w:w="9075" w:type="dxa"/>
            <w:gridSpan w:val="10"/>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b/>
                <w:color w:val="000000"/>
                <w:sz w:val="32"/>
                <w:szCs w:val="32"/>
              </w:rPr>
            </w:pPr>
            <w:r>
              <w:rPr>
                <w:rFonts w:hint="eastAsia" w:ascii="宋体" w:hAnsi="宋体" w:eastAsia="宋体" w:cs="宋体"/>
                <w:b/>
                <w:bCs/>
                <w:color w:val="000000"/>
                <w:kern w:val="0"/>
                <w:sz w:val="32"/>
                <w:szCs w:val="32"/>
              </w:rPr>
              <w:t>部门整体支出绩效目标自评表</w:t>
            </w:r>
          </w:p>
        </w:tc>
      </w:tr>
      <w:tr>
        <w:tblPrEx>
          <w:tblLayout w:type="fixed"/>
          <w:tblCellMar>
            <w:top w:w="0" w:type="dxa"/>
            <w:left w:w="0" w:type="dxa"/>
            <w:bottom w:w="0" w:type="dxa"/>
            <w:right w:w="0" w:type="dxa"/>
          </w:tblCellMar>
        </w:tblPrEx>
        <w:trPr>
          <w:trHeight w:val="660" w:hRule="atLeast"/>
        </w:trPr>
        <w:tc>
          <w:tcPr>
            <w:tcW w:w="9075" w:type="dxa"/>
            <w:gridSpan w:val="10"/>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b/>
                <w:color w:val="000000"/>
                <w:sz w:val="32"/>
                <w:szCs w:val="32"/>
              </w:rPr>
            </w:pPr>
            <w:r>
              <w:rPr>
                <w:rFonts w:hint="eastAsia" w:ascii="宋体" w:hAnsi="宋体" w:eastAsia="宋体" w:cs="宋体"/>
                <w:b/>
                <w:bCs/>
                <w:color w:val="000000"/>
                <w:kern w:val="0"/>
                <w:sz w:val="32"/>
                <w:szCs w:val="32"/>
              </w:rPr>
              <w:t>(2021年)</w:t>
            </w:r>
          </w:p>
        </w:tc>
      </w:tr>
      <w:tr>
        <w:tblPrEx>
          <w:tblLayout w:type="fixed"/>
          <w:tblCellMar>
            <w:top w:w="0" w:type="dxa"/>
            <w:left w:w="0" w:type="dxa"/>
            <w:bottom w:w="0" w:type="dxa"/>
            <w:right w:w="0" w:type="dxa"/>
          </w:tblCellMar>
        </w:tblPrEx>
        <w:trPr>
          <w:trHeight w:val="699" w:hRule="atLeast"/>
        </w:trPr>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bCs/>
                <w:color w:val="000000"/>
                <w:kern w:val="0"/>
                <w:sz w:val="24"/>
              </w:rPr>
              <w:t>部门（单位）名称</w:t>
            </w:r>
          </w:p>
        </w:tc>
        <w:tc>
          <w:tcPr>
            <w:tcW w:w="703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特克斯县</w:t>
            </w:r>
            <w:r>
              <w:rPr>
                <w:rFonts w:hint="eastAsia" w:ascii="宋体" w:hAnsi="宋体" w:eastAsia="宋体" w:cs="宋体"/>
                <w:color w:val="000000"/>
                <w:kern w:val="0"/>
                <w:sz w:val="24"/>
                <w:lang w:eastAsia="zh-CN"/>
              </w:rPr>
              <w:t>**</w:t>
            </w:r>
            <w:r>
              <w:rPr>
                <w:rFonts w:hint="eastAsia" w:ascii="宋体" w:hAnsi="宋体" w:eastAsia="宋体" w:cs="宋体"/>
                <w:color w:val="000000"/>
                <w:kern w:val="0"/>
                <w:sz w:val="24"/>
              </w:rPr>
              <w:t>管理局</w:t>
            </w:r>
          </w:p>
        </w:tc>
      </w:tr>
      <w:tr>
        <w:tblPrEx>
          <w:tblLayout w:type="fixed"/>
          <w:tblCellMar>
            <w:top w:w="0" w:type="dxa"/>
            <w:left w:w="0" w:type="dxa"/>
            <w:bottom w:w="0" w:type="dxa"/>
            <w:right w:w="0" w:type="dxa"/>
          </w:tblCellMar>
        </w:tblPrEx>
        <w:trPr>
          <w:trHeight w:val="699" w:hRule="atLeast"/>
        </w:trPr>
        <w:tc>
          <w:tcPr>
            <w:tcW w:w="80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bCs/>
                <w:color w:val="000000"/>
                <w:kern w:val="0"/>
                <w:sz w:val="24"/>
              </w:rPr>
              <w:t>年度主要任务</w:t>
            </w:r>
          </w:p>
        </w:tc>
        <w:tc>
          <w:tcPr>
            <w:tcW w:w="12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bCs/>
                <w:color w:val="000000"/>
                <w:kern w:val="0"/>
                <w:sz w:val="24"/>
              </w:rPr>
              <w:t>任务名称</w:t>
            </w:r>
          </w:p>
        </w:tc>
        <w:tc>
          <w:tcPr>
            <w:tcW w:w="18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bCs/>
                <w:color w:val="000000"/>
                <w:kern w:val="0"/>
                <w:sz w:val="24"/>
              </w:rPr>
              <w:t>主要内容</w:t>
            </w:r>
          </w:p>
        </w:tc>
        <w:tc>
          <w:tcPr>
            <w:tcW w:w="260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bCs/>
                <w:color w:val="000000"/>
                <w:kern w:val="0"/>
                <w:sz w:val="24"/>
              </w:rPr>
              <w:t>预算金额（万元）</w:t>
            </w:r>
          </w:p>
        </w:tc>
        <w:tc>
          <w:tcPr>
            <w:tcW w:w="260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bCs/>
                <w:color w:val="000000"/>
                <w:kern w:val="0"/>
                <w:sz w:val="24"/>
              </w:rPr>
              <w:t>实际执行（万元）</w:t>
            </w:r>
          </w:p>
        </w:tc>
      </w:tr>
      <w:tr>
        <w:tblPrEx>
          <w:tblLayout w:type="fixed"/>
          <w:tblCellMar>
            <w:top w:w="0" w:type="dxa"/>
            <w:left w:w="0" w:type="dxa"/>
            <w:bottom w:w="0" w:type="dxa"/>
            <w:right w:w="0" w:type="dxa"/>
          </w:tblCellMar>
        </w:tblPrEx>
        <w:trPr>
          <w:trHeight w:val="699" w:hRule="atLeast"/>
        </w:trPr>
        <w:tc>
          <w:tcPr>
            <w:tcW w:w="8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color w:val="000000"/>
                <w:sz w:val="24"/>
              </w:rPr>
            </w:pPr>
          </w:p>
        </w:tc>
        <w:tc>
          <w:tcPr>
            <w:tcW w:w="12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color w:val="000000"/>
                <w:sz w:val="24"/>
              </w:rPr>
            </w:pPr>
          </w:p>
        </w:tc>
        <w:tc>
          <w:tcPr>
            <w:tcW w:w="18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color w:val="000000"/>
                <w:sz w:val="24"/>
              </w:rPr>
            </w:pP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bCs/>
                <w:color w:val="000000"/>
                <w:kern w:val="0"/>
                <w:sz w:val="24"/>
              </w:rPr>
              <w:t>总额</w:t>
            </w:r>
          </w:p>
        </w:tc>
        <w:tc>
          <w:tcPr>
            <w:tcW w:w="8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bCs/>
                <w:color w:val="000000"/>
                <w:kern w:val="0"/>
                <w:sz w:val="24"/>
              </w:rPr>
              <w:t>财政拨款</w:t>
            </w:r>
          </w:p>
        </w:tc>
        <w:tc>
          <w:tcPr>
            <w:tcW w:w="8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bCs/>
                <w:color w:val="000000"/>
                <w:kern w:val="0"/>
                <w:sz w:val="24"/>
              </w:rPr>
              <w:t>其他资金</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bCs/>
                <w:color w:val="000000"/>
                <w:kern w:val="0"/>
                <w:sz w:val="24"/>
              </w:rPr>
              <w:t>总额</w:t>
            </w:r>
          </w:p>
        </w:tc>
        <w:tc>
          <w:tcPr>
            <w:tcW w:w="86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bCs/>
                <w:color w:val="000000"/>
                <w:kern w:val="0"/>
                <w:sz w:val="24"/>
              </w:rPr>
              <w:t>财政拨款</w:t>
            </w:r>
          </w:p>
        </w:tc>
        <w:tc>
          <w:tcPr>
            <w:tcW w:w="8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bCs/>
                <w:color w:val="000000"/>
                <w:kern w:val="0"/>
                <w:sz w:val="24"/>
              </w:rPr>
              <w:t>其他资金</w:t>
            </w:r>
          </w:p>
        </w:tc>
      </w:tr>
      <w:tr>
        <w:tblPrEx>
          <w:tblLayout w:type="fixed"/>
          <w:tblCellMar>
            <w:top w:w="0" w:type="dxa"/>
            <w:left w:w="0" w:type="dxa"/>
            <w:bottom w:w="0" w:type="dxa"/>
            <w:right w:w="0" w:type="dxa"/>
          </w:tblCellMar>
        </w:tblPrEx>
        <w:trPr>
          <w:trHeight w:val="2040" w:hRule="atLeast"/>
        </w:trPr>
        <w:tc>
          <w:tcPr>
            <w:tcW w:w="8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color w:val="000000"/>
                <w:sz w:val="24"/>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人员保障</w:t>
            </w:r>
          </w:p>
        </w:tc>
        <w:tc>
          <w:tcPr>
            <w:tcW w:w="1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工资资福利支出主要包含基本工资、津贴补贴、奖金、机关事业单位基本养老保险缴费、其他社会保障缴费、住房公积金等。对个人和家庭的补助支出包括退休费、生活补助等。</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176.76</w:t>
            </w:r>
          </w:p>
        </w:tc>
        <w:tc>
          <w:tcPr>
            <w:tcW w:w="8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176.76</w:t>
            </w:r>
          </w:p>
        </w:tc>
        <w:tc>
          <w:tcPr>
            <w:tcW w:w="8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176.76</w:t>
            </w:r>
          </w:p>
        </w:tc>
        <w:tc>
          <w:tcPr>
            <w:tcW w:w="86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176.76</w:t>
            </w:r>
          </w:p>
        </w:tc>
        <w:tc>
          <w:tcPr>
            <w:tcW w:w="8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color w:val="000000"/>
                <w:sz w:val="20"/>
                <w:szCs w:val="20"/>
              </w:rPr>
            </w:pPr>
            <w:r>
              <w:rPr>
                <w:rFonts w:hint="eastAsia" w:ascii="宋体" w:hAnsi="宋体" w:eastAsia="宋体" w:cs="宋体"/>
                <w:b/>
                <w:bCs/>
                <w:color w:val="000000"/>
                <w:kern w:val="0"/>
                <w:sz w:val="20"/>
                <w:szCs w:val="20"/>
              </w:rPr>
              <w:t>0</w:t>
            </w:r>
          </w:p>
        </w:tc>
      </w:tr>
      <w:tr>
        <w:tblPrEx>
          <w:tblLayout w:type="fixed"/>
          <w:tblCellMar>
            <w:top w:w="0" w:type="dxa"/>
            <w:left w:w="0" w:type="dxa"/>
            <w:bottom w:w="0" w:type="dxa"/>
            <w:right w:w="0" w:type="dxa"/>
          </w:tblCellMar>
        </w:tblPrEx>
        <w:trPr>
          <w:trHeight w:val="1840" w:hRule="atLeast"/>
        </w:trPr>
        <w:tc>
          <w:tcPr>
            <w:tcW w:w="8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color w:val="000000"/>
                <w:sz w:val="24"/>
              </w:rPr>
            </w:pPr>
          </w:p>
        </w:tc>
        <w:tc>
          <w:tcPr>
            <w:tcW w:w="1231"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运转保障</w:t>
            </w:r>
          </w:p>
        </w:tc>
        <w:tc>
          <w:tcPr>
            <w:tcW w:w="1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商品和服务支出包括办公费、水费、电费、邮电费、取暖费、差旅费、工会经费、福利费、公务用车运行维修费等</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5.6</w:t>
            </w:r>
          </w:p>
        </w:tc>
        <w:tc>
          <w:tcPr>
            <w:tcW w:w="8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5.6</w:t>
            </w:r>
          </w:p>
        </w:tc>
        <w:tc>
          <w:tcPr>
            <w:tcW w:w="8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5.6</w:t>
            </w:r>
          </w:p>
        </w:tc>
        <w:tc>
          <w:tcPr>
            <w:tcW w:w="86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5.6</w:t>
            </w:r>
          </w:p>
        </w:tc>
        <w:tc>
          <w:tcPr>
            <w:tcW w:w="8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color w:val="000000"/>
                <w:sz w:val="20"/>
                <w:szCs w:val="20"/>
              </w:rPr>
            </w:pPr>
            <w:r>
              <w:rPr>
                <w:rFonts w:hint="eastAsia" w:ascii="宋体" w:hAnsi="宋体" w:eastAsia="宋体" w:cs="宋体"/>
                <w:b/>
                <w:bCs/>
                <w:color w:val="000000"/>
                <w:kern w:val="0"/>
                <w:sz w:val="20"/>
                <w:szCs w:val="20"/>
              </w:rPr>
              <w:t>0</w:t>
            </w:r>
          </w:p>
        </w:tc>
      </w:tr>
      <w:tr>
        <w:tblPrEx>
          <w:tblLayout w:type="fixed"/>
          <w:tblCellMar>
            <w:top w:w="0" w:type="dxa"/>
            <w:left w:w="0" w:type="dxa"/>
            <w:bottom w:w="0" w:type="dxa"/>
            <w:right w:w="0" w:type="dxa"/>
          </w:tblCellMar>
        </w:tblPrEx>
        <w:trPr>
          <w:trHeight w:val="699" w:hRule="atLeast"/>
        </w:trPr>
        <w:tc>
          <w:tcPr>
            <w:tcW w:w="8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color w:val="000000"/>
                <w:sz w:val="24"/>
              </w:rPr>
            </w:pPr>
          </w:p>
        </w:tc>
        <w:tc>
          <w:tcPr>
            <w:tcW w:w="30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bCs/>
                <w:color w:val="000000"/>
                <w:kern w:val="0"/>
                <w:sz w:val="24"/>
              </w:rPr>
              <w:t>金额合计</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182.36</w:t>
            </w:r>
          </w:p>
        </w:tc>
        <w:tc>
          <w:tcPr>
            <w:tcW w:w="8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182.36</w:t>
            </w:r>
          </w:p>
        </w:tc>
        <w:tc>
          <w:tcPr>
            <w:tcW w:w="8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0</w:t>
            </w:r>
          </w:p>
        </w:tc>
        <w:tc>
          <w:tcPr>
            <w:tcW w:w="8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182.36</w:t>
            </w:r>
          </w:p>
        </w:tc>
        <w:tc>
          <w:tcPr>
            <w:tcW w:w="86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182.36</w:t>
            </w:r>
          </w:p>
        </w:tc>
        <w:tc>
          <w:tcPr>
            <w:tcW w:w="8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bCs/>
                <w:color w:val="000000"/>
                <w:kern w:val="0"/>
                <w:sz w:val="24"/>
              </w:rPr>
              <w:t>0</w:t>
            </w:r>
          </w:p>
        </w:tc>
      </w:tr>
      <w:tr>
        <w:tblPrEx>
          <w:tblLayout w:type="fixed"/>
          <w:tblCellMar>
            <w:top w:w="0" w:type="dxa"/>
            <w:left w:w="0" w:type="dxa"/>
            <w:bottom w:w="0" w:type="dxa"/>
            <w:right w:w="0" w:type="dxa"/>
          </w:tblCellMar>
        </w:tblPrEx>
        <w:trPr>
          <w:trHeight w:val="699" w:hRule="atLeast"/>
        </w:trPr>
        <w:tc>
          <w:tcPr>
            <w:tcW w:w="809" w:type="dxa"/>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bCs/>
                <w:color w:val="000000"/>
                <w:kern w:val="0"/>
                <w:sz w:val="24"/>
              </w:rPr>
              <w:t>年度总体目标</w:t>
            </w:r>
          </w:p>
        </w:tc>
        <w:tc>
          <w:tcPr>
            <w:tcW w:w="3932" w:type="dxa"/>
            <w:gridSpan w:val="3"/>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bCs/>
                <w:color w:val="000000"/>
                <w:kern w:val="0"/>
                <w:sz w:val="24"/>
              </w:rPr>
              <w:t>预期目标</w:t>
            </w:r>
          </w:p>
        </w:tc>
        <w:tc>
          <w:tcPr>
            <w:tcW w:w="433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bCs/>
                <w:color w:val="000000"/>
                <w:kern w:val="0"/>
                <w:sz w:val="24"/>
              </w:rPr>
              <w:t>实际完成目标</w:t>
            </w:r>
          </w:p>
        </w:tc>
      </w:tr>
      <w:tr>
        <w:tblPrEx>
          <w:tblLayout w:type="fixed"/>
          <w:tblCellMar>
            <w:top w:w="0" w:type="dxa"/>
            <w:left w:w="0" w:type="dxa"/>
            <w:bottom w:w="0" w:type="dxa"/>
            <w:right w:w="0" w:type="dxa"/>
          </w:tblCellMar>
        </w:tblPrEx>
        <w:trPr>
          <w:trHeight w:val="2244" w:hRule="atLeast"/>
        </w:trPr>
        <w:tc>
          <w:tcPr>
            <w:tcW w:w="809"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color w:val="000000"/>
                <w:sz w:val="24"/>
              </w:rPr>
            </w:pPr>
          </w:p>
        </w:tc>
        <w:tc>
          <w:tcPr>
            <w:tcW w:w="393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保证单位财政供养人员基本工资、津贴补贴、艰边补助预算的收支，保证单位工作正常开展和各项任务顺利完成。</w:t>
            </w:r>
          </w:p>
        </w:tc>
        <w:tc>
          <w:tcPr>
            <w:tcW w:w="433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保证单位财政供养人员基本工资、津贴补贴、艰边补助预算的收支，保证单位工作正常开展和各项任务顺利完成。</w:t>
            </w:r>
          </w:p>
        </w:tc>
      </w:tr>
      <w:tr>
        <w:tblPrEx>
          <w:tblLayout w:type="fixed"/>
          <w:tblCellMar>
            <w:top w:w="0" w:type="dxa"/>
            <w:left w:w="0" w:type="dxa"/>
            <w:bottom w:w="0" w:type="dxa"/>
            <w:right w:w="0" w:type="dxa"/>
          </w:tblCellMar>
        </w:tblPrEx>
        <w:trPr>
          <w:trHeight w:val="1140" w:hRule="atLeast"/>
        </w:trPr>
        <w:tc>
          <w:tcPr>
            <w:tcW w:w="80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bCs/>
                <w:color w:val="000000"/>
                <w:kern w:val="0"/>
                <w:sz w:val="24"/>
              </w:rPr>
              <w:t>年度绩效指标</w:t>
            </w:r>
          </w:p>
        </w:tc>
        <w:tc>
          <w:tcPr>
            <w:tcW w:w="12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bCs/>
                <w:color w:val="000000"/>
                <w:kern w:val="0"/>
                <w:sz w:val="24"/>
              </w:rPr>
              <w:t>一级指标</w:t>
            </w:r>
          </w:p>
        </w:tc>
        <w:tc>
          <w:tcPr>
            <w:tcW w:w="1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bCs/>
                <w:color w:val="000000"/>
                <w:kern w:val="0"/>
                <w:sz w:val="24"/>
              </w:rPr>
              <w:t>二级指标</w:t>
            </w:r>
          </w:p>
        </w:tc>
        <w:tc>
          <w:tcPr>
            <w:tcW w:w="260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bCs/>
                <w:color w:val="000000"/>
                <w:kern w:val="0"/>
                <w:sz w:val="24"/>
              </w:rPr>
              <w:t>三级指标</w:t>
            </w:r>
          </w:p>
        </w:tc>
        <w:tc>
          <w:tcPr>
            <w:tcW w:w="12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bCs/>
                <w:color w:val="000000"/>
                <w:kern w:val="0"/>
                <w:sz w:val="24"/>
              </w:rPr>
              <w:t>预期指标值（包含数字及文字描述）</w:t>
            </w:r>
          </w:p>
        </w:tc>
        <w:tc>
          <w:tcPr>
            <w:tcW w:w="13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color w:val="000000"/>
                <w:sz w:val="24"/>
              </w:rPr>
            </w:pPr>
            <w:r>
              <w:rPr>
                <w:rFonts w:hint="eastAsia" w:ascii="宋体" w:hAnsi="宋体" w:eastAsia="宋体" w:cs="宋体"/>
                <w:b/>
                <w:bCs/>
                <w:color w:val="000000"/>
                <w:kern w:val="0"/>
                <w:sz w:val="24"/>
              </w:rPr>
              <w:t>实际完成指标值（包含数字及文字描述）</w:t>
            </w:r>
          </w:p>
        </w:tc>
      </w:tr>
      <w:tr>
        <w:tblPrEx>
          <w:tblLayout w:type="fixed"/>
          <w:tblCellMar>
            <w:top w:w="0" w:type="dxa"/>
            <w:left w:w="0" w:type="dxa"/>
            <w:bottom w:w="0" w:type="dxa"/>
            <w:right w:w="0" w:type="dxa"/>
          </w:tblCellMar>
        </w:tblPrEx>
        <w:trPr>
          <w:trHeight w:val="699" w:hRule="atLeast"/>
        </w:trPr>
        <w:tc>
          <w:tcPr>
            <w:tcW w:w="8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color w:val="000000"/>
                <w:sz w:val="24"/>
              </w:rPr>
            </w:pPr>
          </w:p>
        </w:tc>
        <w:tc>
          <w:tcPr>
            <w:tcW w:w="1231"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产出指标</w:t>
            </w:r>
          </w:p>
        </w:tc>
        <w:tc>
          <w:tcPr>
            <w:tcW w:w="1835" w:type="dxa"/>
            <w:vMerge w:val="restart"/>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数量指标</w:t>
            </w:r>
          </w:p>
        </w:tc>
        <w:tc>
          <w:tcPr>
            <w:tcW w:w="260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在职人数</w:t>
            </w:r>
          </w:p>
        </w:tc>
        <w:tc>
          <w:tcPr>
            <w:tcW w:w="1299"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=16人</w:t>
            </w:r>
          </w:p>
        </w:tc>
        <w:tc>
          <w:tcPr>
            <w:tcW w:w="1301"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16人</w:t>
            </w:r>
          </w:p>
        </w:tc>
      </w:tr>
      <w:tr>
        <w:tblPrEx>
          <w:tblLayout w:type="fixed"/>
          <w:tblCellMar>
            <w:top w:w="0" w:type="dxa"/>
            <w:left w:w="0" w:type="dxa"/>
            <w:bottom w:w="0" w:type="dxa"/>
            <w:right w:w="0" w:type="dxa"/>
          </w:tblCellMar>
        </w:tblPrEx>
        <w:trPr>
          <w:trHeight w:val="699" w:hRule="atLeast"/>
        </w:trPr>
        <w:tc>
          <w:tcPr>
            <w:tcW w:w="8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color w:val="000000"/>
                <w:sz w:val="24"/>
              </w:rPr>
            </w:pPr>
          </w:p>
        </w:tc>
        <w:tc>
          <w:tcPr>
            <w:tcW w:w="123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4"/>
              </w:rPr>
            </w:pPr>
          </w:p>
        </w:tc>
        <w:tc>
          <w:tcPr>
            <w:tcW w:w="1835" w:type="dxa"/>
            <w:vMerge w:val="continue"/>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4"/>
              </w:rPr>
            </w:pPr>
          </w:p>
        </w:tc>
        <w:tc>
          <w:tcPr>
            <w:tcW w:w="260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退休人数</w:t>
            </w:r>
          </w:p>
        </w:tc>
        <w:tc>
          <w:tcPr>
            <w:tcW w:w="1299"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=4人</w:t>
            </w:r>
          </w:p>
        </w:tc>
        <w:tc>
          <w:tcPr>
            <w:tcW w:w="1301"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4人</w:t>
            </w:r>
          </w:p>
        </w:tc>
      </w:tr>
      <w:tr>
        <w:tblPrEx>
          <w:tblLayout w:type="fixed"/>
          <w:tblCellMar>
            <w:top w:w="0" w:type="dxa"/>
            <w:left w:w="0" w:type="dxa"/>
            <w:bottom w:w="0" w:type="dxa"/>
            <w:right w:w="0" w:type="dxa"/>
          </w:tblCellMar>
        </w:tblPrEx>
        <w:trPr>
          <w:trHeight w:val="699" w:hRule="atLeast"/>
        </w:trPr>
        <w:tc>
          <w:tcPr>
            <w:tcW w:w="8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color w:val="000000"/>
                <w:sz w:val="24"/>
              </w:rPr>
            </w:pPr>
          </w:p>
        </w:tc>
        <w:tc>
          <w:tcPr>
            <w:tcW w:w="123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4"/>
              </w:rPr>
            </w:pPr>
          </w:p>
        </w:tc>
        <w:tc>
          <w:tcPr>
            <w:tcW w:w="1835" w:type="dxa"/>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质量指标</w:t>
            </w:r>
          </w:p>
        </w:tc>
        <w:tc>
          <w:tcPr>
            <w:tcW w:w="260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 xml:space="preserve">工资及社保发放准确率 </w:t>
            </w:r>
          </w:p>
        </w:tc>
        <w:tc>
          <w:tcPr>
            <w:tcW w:w="1299"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=100%</w:t>
            </w:r>
          </w:p>
        </w:tc>
        <w:tc>
          <w:tcPr>
            <w:tcW w:w="1301"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100%</w:t>
            </w:r>
          </w:p>
        </w:tc>
      </w:tr>
      <w:tr>
        <w:tblPrEx>
          <w:tblLayout w:type="fixed"/>
          <w:tblCellMar>
            <w:top w:w="0" w:type="dxa"/>
            <w:left w:w="0" w:type="dxa"/>
            <w:bottom w:w="0" w:type="dxa"/>
            <w:right w:w="0" w:type="dxa"/>
          </w:tblCellMar>
        </w:tblPrEx>
        <w:trPr>
          <w:trHeight w:val="699" w:hRule="atLeast"/>
        </w:trPr>
        <w:tc>
          <w:tcPr>
            <w:tcW w:w="8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color w:val="000000"/>
                <w:sz w:val="24"/>
              </w:rPr>
            </w:pPr>
          </w:p>
        </w:tc>
        <w:tc>
          <w:tcPr>
            <w:tcW w:w="123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4"/>
              </w:rPr>
            </w:pPr>
          </w:p>
        </w:tc>
        <w:tc>
          <w:tcPr>
            <w:tcW w:w="1835" w:type="dxa"/>
            <w:tcBorders>
              <w:top w:val="single" w:color="000000" w:sz="4" w:space="0"/>
              <w:left w:val="single" w:color="000000" w:sz="4" w:space="0"/>
              <w:bottom w:val="nil"/>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时效指标</w:t>
            </w:r>
          </w:p>
        </w:tc>
        <w:tc>
          <w:tcPr>
            <w:tcW w:w="260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人员工资及福利发放及时性</w:t>
            </w:r>
          </w:p>
        </w:tc>
        <w:tc>
          <w:tcPr>
            <w:tcW w:w="1299"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=100%</w:t>
            </w:r>
          </w:p>
        </w:tc>
        <w:tc>
          <w:tcPr>
            <w:tcW w:w="1301"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100%</w:t>
            </w:r>
          </w:p>
        </w:tc>
      </w:tr>
      <w:tr>
        <w:tblPrEx>
          <w:tblLayout w:type="fixed"/>
          <w:tblCellMar>
            <w:top w:w="0" w:type="dxa"/>
            <w:left w:w="0" w:type="dxa"/>
            <w:bottom w:w="0" w:type="dxa"/>
            <w:right w:w="0" w:type="dxa"/>
          </w:tblCellMar>
        </w:tblPrEx>
        <w:trPr>
          <w:trHeight w:val="699" w:hRule="atLeast"/>
        </w:trPr>
        <w:tc>
          <w:tcPr>
            <w:tcW w:w="8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color w:val="000000"/>
                <w:sz w:val="24"/>
              </w:rPr>
            </w:pPr>
          </w:p>
        </w:tc>
        <w:tc>
          <w:tcPr>
            <w:tcW w:w="123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4"/>
              </w:rPr>
            </w:pPr>
          </w:p>
        </w:tc>
        <w:tc>
          <w:tcPr>
            <w:tcW w:w="183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成本指标</w:t>
            </w:r>
          </w:p>
        </w:tc>
        <w:tc>
          <w:tcPr>
            <w:tcW w:w="260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人均工资支出</w:t>
            </w:r>
          </w:p>
        </w:tc>
        <w:tc>
          <w:tcPr>
            <w:tcW w:w="1299"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≤10万元</w:t>
            </w:r>
          </w:p>
        </w:tc>
        <w:tc>
          <w:tcPr>
            <w:tcW w:w="1301"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10万元</w:t>
            </w:r>
          </w:p>
        </w:tc>
      </w:tr>
      <w:tr>
        <w:tblPrEx>
          <w:tblLayout w:type="fixed"/>
          <w:tblCellMar>
            <w:top w:w="0" w:type="dxa"/>
            <w:left w:w="0" w:type="dxa"/>
            <w:bottom w:w="0" w:type="dxa"/>
            <w:right w:w="0" w:type="dxa"/>
          </w:tblCellMar>
        </w:tblPrEx>
        <w:trPr>
          <w:trHeight w:val="699" w:hRule="atLeast"/>
        </w:trPr>
        <w:tc>
          <w:tcPr>
            <w:tcW w:w="8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color w:val="000000"/>
                <w:sz w:val="24"/>
              </w:rPr>
            </w:pPr>
          </w:p>
        </w:tc>
        <w:tc>
          <w:tcPr>
            <w:tcW w:w="123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4"/>
              </w:rPr>
            </w:pPr>
          </w:p>
        </w:tc>
        <w:tc>
          <w:tcPr>
            <w:tcW w:w="183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4"/>
              </w:rPr>
            </w:pPr>
          </w:p>
        </w:tc>
        <w:tc>
          <w:tcPr>
            <w:tcW w:w="260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人均运转经费数</w:t>
            </w:r>
          </w:p>
        </w:tc>
        <w:tc>
          <w:tcPr>
            <w:tcW w:w="1299"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≤2300元</w:t>
            </w:r>
          </w:p>
        </w:tc>
        <w:tc>
          <w:tcPr>
            <w:tcW w:w="1301"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2300元</w:t>
            </w:r>
          </w:p>
        </w:tc>
      </w:tr>
      <w:tr>
        <w:tblPrEx>
          <w:tblLayout w:type="fixed"/>
          <w:tblCellMar>
            <w:top w:w="0" w:type="dxa"/>
            <w:left w:w="0" w:type="dxa"/>
            <w:bottom w:w="0" w:type="dxa"/>
            <w:right w:w="0" w:type="dxa"/>
          </w:tblCellMar>
        </w:tblPrEx>
        <w:trPr>
          <w:trHeight w:val="699" w:hRule="atLeast"/>
        </w:trPr>
        <w:tc>
          <w:tcPr>
            <w:tcW w:w="8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color w:val="000000"/>
                <w:sz w:val="24"/>
              </w:rPr>
            </w:pPr>
          </w:p>
        </w:tc>
        <w:tc>
          <w:tcPr>
            <w:tcW w:w="1231" w:type="dxa"/>
            <w:tcBorders>
              <w:top w:val="nil"/>
              <w:left w:val="single" w:color="000000" w:sz="4" w:space="0"/>
              <w:bottom w:val="nil"/>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效益指标</w:t>
            </w:r>
          </w:p>
        </w:tc>
        <w:tc>
          <w:tcPr>
            <w:tcW w:w="18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社会效益指标</w:t>
            </w:r>
          </w:p>
        </w:tc>
        <w:tc>
          <w:tcPr>
            <w:tcW w:w="260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保障周边居民生命财产安全</w:t>
            </w:r>
          </w:p>
        </w:tc>
        <w:tc>
          <w:tcPr>
            <w:tcW w:w="1299"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有效保障</w:t>
            </w:r>
          </w:p>
        </w:tc>
        <w:tc>
          <w:tcPr>
            <w:tcW w:w="1301"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有效保障</w:t>
            </w:r>
          </w:p>
        </w:tc>
      </w:tr>
      <w:tr>
        <w:tblPrEx>
          <w:tblLayout w:type="fixed"/>
          <w:tblCellMar>
            <w:top w:w="0" w:type="dxa"/>
            <w:left w:w="0" w:type="dxa"/>
            <w:bottom w:w="0" w:type="dxa"/>
            <w:right w:w="0" w:type="dxa"/>
          </w:tblCellMar>
        </w:tblPrEx>
        <w:trPr>
          <w:trHeight w:val="699" w:hRule="atLeast"/>
        </w:trPr>
        <w:tc>
          <w:tcPr>
            <w:tcW w:w="8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color w:val="000000"/>
                <w:sz w:val="24"/>
              </w:rPr>
            </w:pPr>
          </w:p>
        </w:tc>
        <w:tc>
          <w:tcPr>
            <w:tcW w:w="1231"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183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满意度指标</w:t>
            </w:r>
          </w:p>
        </w:tc>
        <w:tc>
          <w:tcPr>
            <w:tcW w:w="260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干部职工满意度</w:t>
            </w:r>
          </w:p>
        </w:tc>
        <w:tc>
          <w:tcPr>
            <w:tcW w:w="1299"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=100%</w:t>
            </w:r>
          </w:p>
        </w:tc>
        <w:tc>
          <w:tcPr>
            <w:tcW w:w="1301"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100%</w:t>
            </w:r>
          </w:p>
        </w:tc>
      </w:tr>
      <w:tr>
        <w:tblPrEx>
          <w:tblLayout w:type="fixed"/>
          <w:tblCellMar>
            <w:top w:w="0" w:type="dxa"/>
            <w:left w:w="0" w:type="dxa"/>
            <w:bottom w:w="0" w:type="dxa"/>
            <w:right w:w="0" w:type="dxa"/>
          </w:tblCellMar>
        </w:tblPrEx>
        <w:trPr>
          <w:trHeight w:val="699" w:hRule="atLeast"/>
        </w:trPr>
        <w:tc>
          <w:tcPr>
            <w:tcW w:w="8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color w:val="000000"/>
                <w:sz w:val="24"/>
              </w:rPr>
            </w:pPr>
          </w:p>
        </w:tc>
        <w:tc>
          <w:tcPr>
            <w:tcW w:w="123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4"/>
              </w:rPr>
            </w:pPr>
          </w:p>
        </w:tc>
        <w:tc>
          <w:tcPr>
            <w:tcW w:w="183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4"/>
              </w:rPr>
            </w:pPr>
          </w:p>
        </w:tc>
        <w:tc>
          <w:tcPr>
            <w:tcW w:w="260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周边居民满意度</w:t>
            </w:r>
          </w:p>
        </w:tc>
        <w:tc>
          <w:tcPr>
            <w:tcW w:w="1299"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≥98%</w:t>
            </w:r>
          </w:p>
        </w:tc>
        <w:tc>
          <w:tcPr>
            <w:tcW w:w="1301"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98%</w:t>
            </w:r>
          </w:p>
        </w:tc>
      </w:tr>
    </w:tbl>
    <w:p>
      <w:pPr>
        <w:rPr>
          <w:rFonts w:ascii="仿宋" w:hAnsi="仿宋" w:eastAsia="仿宋" w:cs="宋体"/>
          <w:color w:val="333333"/>
          <w:sz w:val="32"/>
          <w:szCs w:val="32"/>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sdtPr>
    <w:sdtEndPr>
      <w:rPr>
        <w:rFonts w:asciiTheme="minorEastAsia" w:hAnsiTheme="minorEastAsia"/>
        <w:sz w:val="28"/>
        <w:szCs w:val="28"/>
      </w:rPr>
    </w:sdtEndPr>
    <w:sdtContent>
      <w:p>
        <w:pPr>
          <w:pStyle w:val="8"/>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22 -</w:t>
        </w:r>
        <w:r>
          <w:rPr>
            <w:rFonts w:asciiTheme="minorEastAsia" w:hAnsiTheme="minorEastAsia"/>
            <w:sz w:val="28"/>
            <w:szCs w:val="28"/>
          </w:rPr>
          <w:fldChar w:fldCharType="end"/>
        </w:r>
      </w:p>
    </w:sdtContent>
  </w:sdt>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94D872D"/>
    <w:multiLevelType w:val="singleLevel"/>
    <w:tmpl w:val="A94D872D"/>
    <w:lvl w:ilvl="0" w:tentative="0">
      <w:start w:val="6"/>
      <w:numFmt w:val="chineseCounting"/>
      <w:suff w:val="nothing"/>
      <w:lvlText w:val="%1、"/>
      <w:lvlJc w:val="left"/>
      <w:rPr>
        <w:rFonts w:hint="eastAsia"/>
      </w:rPr>
    </w:lvl>
  </w:abstractNum>
  <w:abstractNum w:abstractNumId="1">
    <w:nsid w:val="6CAF9BC0"/>
    <w:multiLevelType w:val="singleLevel"/>
    <w:tmpl w:val="6CAF9BC0"/>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4ZjMzZTkxMDUzOWUwYzQ4OTViM2UwODBmYmY3N2QifQ=="/>
  </w:docVars>
  <w:rsids>
    <w:rsidRoot w:val="00633862"/>
    <w:rsid w:val="00025A44"/>
    <w:rsid w:val="00072084"/>
    <w:rsid w:val="0009422A"/>
    <w:rsid w:val="0009437E"/>
    <w:rsid w:val="000B6B13"/>
    <w:rsid w:val="000D1DEE"/>
    <w:rsid w:val="000D3AFA"/>
    <w:rsid w:val="00105D60"/>
    <w:rsid w:val="001121F2"/>
    <w:rsid w:val="00112859"/>
    <w:rsid w:val="001173EB"/>
    <w:rsid w:val="00150C4C"/>
    <w:rsid w:val="00191BA3"/>
    <w:rsid w:val="0019220B"/>
    <w:rsid w:val="001A2299"/>
    <w:rsid w:val="001A3A0E"/>
    <w:rsid w:val="001F630E"/>
    <w:rsid w:val="0021046A"/>
    <w:rsid w:val="0022744B"/>
    <w:rsid w:val="00234372"/>
    <w:rsid w:val="00234B37"/>
    <w:rsid w:val="00246941"/>
    <w:rsid w:val="002764C7"/>
    <w:rsid w:val="002943F7"/>
    <w:rsid w:val="002D075E"/>
    <w:rsid w:val="002E4A51"/>
    <w:rsid w:val="002F01CD"/>
    <w:rsid w:val="00303A08"/>
    <w:rsid w:val="003226C4"/>
    <w:rsid w:val="003E3DEF"/>
    <w:rsid w:val="003E7C70"/>
    <w:rsid w:val="004004A2"/>
    <w:rsid w:val="00411996"/>
    <w:rsid w:val="00476083"/>
    <w:rsid w:val="0049337C"/>
    <w:rsid w:val="004C4C4D"/>
    <w:rsid w:val="004C6FF3"/>
    <w:rsid w:val="004E69F5"/>
    <w:rsid w:val="004E7AAC"/>
    <w:rsid w:val="00531A31"/>
    <w:rsid w:val="00533C6C"/>
    <w:rsid w:val="00593943"/>
    <w:rsid w:val="005A08A8"/>
    <w:rsid w:val="005B1250"/>
    <w:rsid w:val="005C33CE"/>
    <w:rsid w:val="006225D7"/>
    <w:rsid w:val="00633862"/>
    <w:rsid w:val="006379B7"/>
    <w:rsid w:val="0064138E"/>
    <w:rsid w:val="006413B6"/>
    <w:rsid w:val="006910A7"/>
    <w:rsid w:val="00691310"/>
    <w:rsid w:val="006A7181"/>
    <w:rsid w:val="006C5BED"/>
    <w:rsid w:val="006D3947"/>
    <w:rsid w:val="00702D4A"/>
    <w:rsid w:val="007115C8"/>
    <w:rsid w:val="00713ADC"/>
    <w:rsid w:val="00725B9A"/>
    <w:rsid w:val="00754721"/>
    <w:rsid w:val="00757A6D"/>
    <w:rsid w:val="007713F8"/>
    <w:rsid w:val="007A7491"/>
    <w:rsid w:val="007A7874"/>
    <w:rsid w:val="00800784"/>
    <w:rsid w:val="00817432"/>
    <w:rsid w:val="0082212F"/>
    <w:rsid w:val="008614D8"/>
    <w:rsid w:val="00875327"/>
    <w:rsid w:val="00886879"/>
    <w:rsid w:val="00890FC2"/>
    <w:rsid w:val="008C2D75"/>
    <w:rsid w:val="008E3F8A"/>
    <w:rsid w:val="008F5382"/>
    <w:rsid w:val="00923468"/>
    <w:rsid w:val="00952782"/>
    <w:rsid w:val="0095580D"/>
    <w:rsid w:val="0097614B"/>
    <w:rsid w:val="00992D45"/>
    <w:rsid w:val="009A1625"/>
    <w:rsid w:val="009E5FF8"/>
    <w:rsid w:val="009F06F4"/>
    <w:rsid w:val="00A05135"/>
    <w:rsid w:val="00A43D21"/>
    <w:rsid w:val="00A55238"/>
    <w:rsid w:val="00A97B6A"/>
    <w:rsid w:val="00AA5126"/>
    <w:rsid w:val="00AC4471"/>
    <w:rsid w:val="00AD16CD"/>
    <w:rsid w:val="00AE6BBF"/>
    <w:rsid w:val="00AF42EB"/>
    <w:rsid w:val="00B130FE"/>
    <w:rsid w:val="00B34A48"/>
    <w:rsid w:val="00B407C3"/>
    <w:rsid w:val="00B666A1"/>
    <w:rsid w:val="00BA1454"/>
    <w:rsid w:val="00C42609"/>
    <w:rsid w:val="00C4673D"/>
    <w:rsid w:val="00C76454"/>
    <w:rsid w:val="00C81F75"/>
    <w:rsid w:val="00CA457F"/>
    <w:rsid w:val="00CB1C9D"/>
    <w:rsid w:val="00CC7606"/>
    <w:rsid w:val="00CD2F35"/>
    <w:rsid w:val="00CE16E7"/>
    <w:rsid w:val="00CE61DB"/>
    <w:rsid w:val="00D26F3D"/>
    <w:rsid w:val="00D278CF"/>
    <w:rsid w:val="00D317C4"/>
    <w:rsid w:val="00D62A2D"/>
    <w:rsid w:val="00D77626"/>
    <w:rsid w:val="00D81EE2"/>
    <w:rsid w:val="00DA67B8"/>
    <w:rsid w:val="00DB1085"/>
    <w:rsid w:val="00DB69F1"/>
    <w:rsid w:val="00DD223C"/>
    <w:rsid w:val="00E15991"/>
    <w:rsid w:val="00E213C7"/>
    <w:rsid w:val="00E41A31"/>
    <w:rsid w:val="00E7188B"/>
    <w:rsid w:val="00EA5844"/>
    <w:rsid w:val="00F006BD"/>
    <w:rsid w:val="00F17550"/>
    <w:rsid w:val="00F22263"/>
    <w:rsid w:val="00F27120"/>
    <w:rsid w:val="00F341E0"/>
    <w:rsid w:val="00F36401"/>
    <w:rsid w:val="00F42445"/>
    <w:rsid w:val="00F44FCC"/>
    <w:rsid w:val="00F74974"/>
    <w:rsid w:val="00F829DE"/>
    <w:rsid w:val="00F84215"/>
    <w:rsid w:val="00F91CBB"/>
    <w:rsid w:val="02A35974"/>
    <w:rsid w:val="050C7BB9"/>
    <w:rsid w:val="06061560"/>
    <w:rsid w:val="065B6AE7"/>
    <w:rsid w:val="069F1BAF"/>
    <w:rsid w:val="08D25688"/>
    <w:rsid w:val="09485665"/>
    <w:rsid w:val="0971004B"/>
    <w:rsid w:val="097B5AE2"/>
    <w:rsid w:val="0A513CBB"/>
    <w:rsid w:val="0A823901"/>
    <w:rsid w:val="0AF73471"/>
    <w:rsid w:val="0B221248"/>
    <w:rsid w:val="0B723CCA"/>
    <w:rsid w:val="0CF91C65"/>
    <w:rsid w:val="0D3B3F74"/>
    <w:rsid w:val="0E2C34FE"/>
    <w:rsid w:val="0E3D37FC"/>
    <w:rsid w:val="0E9A5E97"/>
    <w:rsid w:val="0ECD621B"/>
    <w:rsid w:val="0EF108DE"/>
    <w:rsid w:val="11976EA6"/>
    <w:rsid w:val="11C05EAC"/>
    <w:rsid w:val="124734E5"/>
    <w:rsid w:val="13504799"/>
    <w:rsid w:val="1441226A"/>
    <w:rsid w:val="15515216"/>
    <w:rsid w:val="17C15117"/>
    <w:rsid w:val="17CD7C3B"/>
    <w:rsid w:val="18153B4B"/>
    <w:rsid w:val="183A3856"/>
    <w:rsid w:val="18A863FB"/>
    <w:rsid w:val="1A463971"/>
    <w:rsid w:val="1A4E67A8"/>
    <w:rsid w:val="1BD00DD6"/>
    <w:rsid w:val="1C1F669A"/>
    <w:rsid w:val="1CAE72F3"/>
    <w:rsid w:val="1D5E4DCA"/>
    <w:rsid w:val="1DA7391D"/>
    <w:rsid w:val="1E307340"/>
    <w:rsid w:val="1EB60E4D"/>
    <w:rsid w:val="1F7D1D57"/>
    <w:rsid w:val="20A30D7F"/>
    <w:rsid w:val="20F21601"/>
    <w:rsid w:val="221F4D57"/>
    <w:rsid w:val="223D0157"/>
    <w:rsid w:val="22944C3E"/>
    <w:rsid w:val="231773C5"/>
    <w:rsid w:val="23D97533"/>
    <w:rsid w:val="25A21C31"/>
    <w:rsid w:val="25EF6BA7"/>
    <w:rsid w:val="26B46D7C"/>
    <w:rsid w:val="26E127E1"/>
    <w:rsid w:val="26FA03F3"/>
    <w:rsid w:val="2756442E"/>
    <w:rsid w:val="27E85793"/>
    <w:rsid w:val="280A12E1"/>
    <w:rsid w:val="28A27425"/>
    <w:rsid w:val="2925778B"/>
    <w:rsid w:val="294604E4"/>
    <w:rsid w:val="299C68F6"/>
    <w:rsid w:val="2B2F1A43"/>
    <w:rsid w:val="2B887FE7"/>
    <w:rsid w:val="2BCA2158"/>
    <w:rsid w:val="2DFC0FB7"/>
    <w:rsid w:val="2E447038"/>
    <w:rsid w:val="2FE251B1"/>
    <w:rsid w:val="302945FC"/>
    <w:rsid w:val="30B364DA"/>
    <w:rsid w:val="30B80A40"/>
    <w:rsid w:val="30E1356E"/>
    <w:rsid w:val="317D1088"/>
    <w:rsid w:val="3202653D"/>
    <w:rsid w:val="32700C8A"/>
    <w:rsid w:val="327E3BFB"/>
    <w:rsid w:val="33A23C3E"/>
    <w:rsid w:val="344A7A27"/>
    <w:rsid w:val="34D66847"/>
    <w:rsid w:val="35191C36"/>
    <w:rsid w:val="35E82904"/>
    <w:rsid w:val="36725590"/>
    <w:rsid w:val="36791EF4"/>
    <w:rsid w:val="375C2ED6"/>
    <w:rsid w:val="383A40A2"/>
    <w:rsid w:val="38F54A7A"/>
    <w:rsid w:val="39203EEF"/>
    <w:rsid w:val="397B20DB"/>
    <w:rsid w:val="3A1F6BF0"/>
    <w:rsid w:val="3AD64507"/>
    <w:rsid w:val="3B65743A"/>
    <w:rsid w:val="3BCB3F26"/>
    <w:rsid w:val="3C5E179D"/>
    <w:rsid w:val="3EB42137"/>
    <w:rsid w:val="3EB84E9B"/>
    <w:rsid w:val="3EBD1357"/>
    <w:rsid w:val="3F1946AC"/>
    <w:rsid w:val="406B5BA5"/>
    <w:rsid w:val="43EF6651"/>
    <w:rsid w:val="45393BF4"/>
    <w:rsid w:val="462E4782"/>
    <w:rsid w:val="466509E2"/>
    <w:rsid w:val="46863148"/>
    <w:rsid w:val="46923E4C"/>
    <w:rsid w:val="46FA3437"/>
    <w:rsid w:val="47480634"/>
    <w:rsid w:val="492103D9"/>
    <w:rsid w:val="497C3540"/>
    <w:rsid w:val="4A462411"/>
    <w:rsid w:val="4A5C3A56"/>
    <w:rsid w:val="4B1C2122"/>
    <w:rsid w:val="4CA10679"/>
    <w:rsid w:val="4CC46D11"/>
    <w:rsid w:val="502B7FE3"/>
    <w:rsid w:val="50C808C4"/>
    <w:rsid w:val="512376A7"/>
    <w:rsid w:val="514675F2"/>
    <w:rsid w:val="52836C54"/>
    <w:rsid w:val="53A347BB"/>
    <w:rsid w:val="56DA2334"/>
    <w:rsid w:val="56F82D6D"/>
    <w:rsid w:val="57081262"/>
    <w:rsid w:val="58C8071E"/>
    <w:rsid w:val="58CE7F52"/>
    <w:rsid w:val="59530CF6"/>
    <w:rsid w:val="5969417E"/>
    <w:rsid w:val="598E31D8"/>
    <w:rsid w:val="59956268"/>
    <w:rsid w:val="59C570A9"/>
    <w:rsid w:val="5A0B09A3"/>
    <w:rsid w:val="5ADA59E5"/>
    <w:rsid w:val="5EA46CC2"/>
    <w:rsid w:val="60746966"/>
    <w:rsid w:val="61055FBD"/>
    <w:rsid w:val="61072147"/>
    <w:rsid w:val="637622A0"/>
    <w:rsid w:val="63CE7927"/>
    <w:rsid w:val="63EE69DB"/>
    <w:rsid w:val="65FE666B"/>
    <w:rsid w:val="66926962"/>
    <w:rsid w:val="67437528"/>
    <w:rsid w:val="682C3BA4"/>
    <w:rsid w:val="699B467B"/>
    <w:rsid w:val="6A04190A"/>
    <w:rsid w:val="6A100988"/>
    <w:rsid w:val="6A45484D"/>
    <w:rsid w:val="6B3639D0"/>
    <w:rsid w:val="6D864A2D"/>
    <w:rsid w:val="6E1A4591"/>
    <w:rsid w:val="6F7C7F69"/>
    <w:rsid w:val="70590E72"/>
    <w:rsid w:val="71E217E0"/>
    <w:rsid w:val="723660DF"/>
    <w:rsid w:val="729C39A9"/>
    <w:rsid w:val="72A3062C"/>
    <w:rsid w:val="72DA58A9"/>
    <w:rsid w:val="73EB4313"/>
    <w:rsid w:val="74654DEE"/>
    <w:rsid w:val="74D60E1A"/>
    <w:rsid w:val="74F731A1"/>
    <w:rsid w:val="76B108C0"/>
    <w:rsid w:val="76CD3A5E"/>
    <w:rsid w:val="77984CBC"/>
    <w:rsid w:val="77F160CD"/>
    <w:rsid w:val="785F2387"/>
    <w:rsid w:val="79BC503F"/>
    <w:rsid w:val="7AE21E0C"/>
    <w:rsid w:val="7CBD491E"/>
    <w:rsid w:val="7CEF7048"/>
    <w:rsid w:val="7DD97F09"/>
    <w:rsid w:val="7E440B02"/>
    <w:rsid w:val="7ECE0D09"/>
    <w:rsid w:val="7F1D48C0"/>
    <w:rsid w:val="7F2E55CB"/>
    <w:rsid w:val="7FEE20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6">
    <w:name w:val="toc 3"/>
    <w:basedOn w:val="1"/>
    <w:next w:val="1"/>
    <w:unhideWhenUsed/>
    <w:qFormat/>
    <w:uiPriority w:val="39"/>
    <w:pPr>
      <w:ind w:left="840" w:leftChars="400"/>
    </w:pPr>
  </w:style>
  <w:style w:type="paragraph" w:styleId="7">
    <w:name w:val="Balloon Text"/>
    <w:basedOn w:val="1"/>
    <w:link w:val="29"/>
    <w:semiHidden/>
    <w:unhideWhenUsed/>
    <w:qFormat/>
    <w:uiPriority w:val="99"/>
    <w:rPr>
      <w:sz w:val="18"/>
      <w:szCs w:val="18"/>
    </w:rPr>
  </w:style>
  <w:style w:type="paragraph" w:styleId="8">
    <w:name w:val="footer"/>
    <w:basedOn w:val="1"/>
    <w:link w:val="19"/>
    <w:unhideWhenUsed/>
    <w:qFormat/>
    <w:uiPriority w:val="99"/>
    <w:pPr>
      <w:tabs>
        <w:tab w:val="center" w:pos="4153"/>
        <w:tab w:val="right" w:pos="8306"/>
      </w:tabs>
      <w:snapToGrid w:val="0"/>
      <w:jc w:val="left"/>
    </w:pPr>
    <w:rPr>
      <w:sz w:val="18"/>
      <w:szCs w:val="18"/>
    </w:rPr>
  </w:style>
  <w:style w:type="paragraph" w:styleId="9">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4"/>
    <w:basedOn w:val="1"/>
    <w:next w:val="1"/>
    <w:unhideWhenUsed/>
    <w:qFormat/>
    <w:uiPriority w:val="39"/>
    <w:pPr>
      <w:ind w:left="1260" w:leftChars="600"/>
    </w:pPr>
  </w:style>
  <w:style w:type="paragraph" w:styleId="11">
    <w:name w:val="Subtitle"/>
    <w:basedOn w:val="1"/>
    <w:next w:val="1"/>
    <w:link w:val="23"/>
    <w:qFormat/>
    <w:uiPriority w:val="11"/>
    <w:pPr>
      <w:spacing w:before="240" w:after="60" w:line="312" w:lineRule="auto"/>
      <w:jc w:val="center"/>
      <w:outlineLvl w:val="1"/>
    </w:pPr>
    <w:rPr>
      <w:b/>
      <w:bCs/>
      <w:kern w:val="28"/>
      <w:sz w:val="32"/>
      <w:szCs w:val="32"/>
    </w:rPr>
  </w:style>
  <w:style w:type="paragraph" w:styleId="12">
    <w:name w:val="toc 2"/>
    <w:basedOn w:val="1"/>
    <w:next w:val="1"/>
    <w:unhideWhenUsed/>
    <w:qFormat/>
    <w:uiPriority w:val="39"/>
    <w:pPr>
      <w:ind w:left="420" w:leftChars="200"/>
    </w:pPr>
  </w:style>
  <w:style w:type="paragraph" w:styleId="13">
    <w:name w:val="Title"/>
    <w:basedOn w:val="1"/>
    <w:next w:val="1"/>
    <w:link w:val="21"/>
    <w:qFormat/>
    <w:uiPriority w:val="10"/>
    <w:pPr>
      <w:spacing w:before="240" w:after="60"/>
      <w:jc w:val="center"/>
      <w:outlineLvl w:val="0"/>
    </w:pPr>
    <w:rPr>
      <w:rFonts w:asciiTheme="majorHAnsi" w:hAnsiTheme="majorHAnsi" w:eastAsiaTheme="majorEastAsia" w:cstheme="majorBidi"/>
      <w:b/>
      <w:bCs/>
      <w:sz w:val="32"/>
      <w:szCs w:val="32"/>
    </w:rPr>
  </w:style>
  <w:style w:type="character" w:styleId="16">
    <w:name w:val="Strong"/>
    <w:basedOn w:val="15"/>
    <w:qFormat/>
    <w:uiPriority w:val="0"/>
    <w:rPr>
      <w:b/>
      <w:bCs/>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character" w:customStyle="1" w:styleId="18">
    <w:name w:val="页眉 Char"/>
    <w:basedOn w:val="15"/>
    <w:link w:val="9"/>
    <w:qFormat/>
    <w:uiPriority w:val="99"/>
    <w:rPr>
      <w:sz w:val="18"/>
      <w:szCs w:val="18"/>
    </w:rPr>
  </w:style>
  <w:style w:type="character" w:customStyle="1" w:styleId="19">
    <w:name w:val="页脚 Char"/>
    <w:basedOn w:val="15"/>
    <w:link w:val="8"/>
    <w:qFormat/>
    <w:uiPriority w:val="99"/>
    <w:rPr>
      <w:sz w:val="18"/>
      <w:szCs w:val="18"/>
    </w:rPr>
  </w:style>
  <w:style w:type="paragraph" w:styleId="20">
    <w:name w:val="List Paragraph"/>
    <w:basedOn w:val="1"/>
    <w:unhideWhenUsed/>
    <w:qFormat/>
    <w:uiPriority w:val="99"/>
    <w:pPr>
      <w:ind w:firstLine="420" w:firstLineChars="200"/>
    </w:pPr>
  </w:style>
  <w:style w:type="character" w:customStyle="1" w:styleId="21">
    <w:name w:val="标题 Char"/>
    <w:basedOn w:val="15"/>
    <w:link w:val="13"/>
    <w:qFormat/>
    <w:uiPriority w:val="10"/>
    <w:rPr>
      <w:rFonts w:asciiTheme="majorHAnsi" w:hAnsiTheme="majorHAnsi" w:eastAsiaTheme="majorEastAsia" w:cstheme="majorBidi"/>
      <w:b/>
      <w:bCs/>
      <w:sz w:val="32"/>
      <w:szCs w:val="32"/>
    </w:rPr>
  </w:style>
  <w:style w:type="character" w:customStyle="1" w:styleId="22">
    <w:name w:val="标题 2 Char"/>
    <w:basedOn w:val="15"/>
    <w:link w:val="3"/>
    <w:qFormat/>
    <w:uiPriority w:val="9"/>
    <w:rPr>
      <w:rFonts w:asciiTheme="majorHAnsi" w:hAnsiTheme="majorHAnsi" w:eastAsiaTheme="majorEastAsia" w:cstheme="majorBidi"/>
      <w:b/>
      <w:bCs/>
      <w:sz w:val="32"/>
      <w:szCs w:val="32"/>
    </w:rPr>
  </w:style>
  <w:style w:type="character" w:customStyle="1" w:styleId="23">
    <w:name w:val="副标题 Char"/>
    <w:basedOn w:val="15"/>
    <w:link w:val="11"/>
    <w:qFormat/>
    <w:uiPriority w:val="11"/>
    <w:rPr>
      <w:b/>
      <w:bCs/>
      <w:kern w:val="28"/>
      <w:sz w:val="32"/>
      <w:szCs w:val="32"/>
    </w:rPr>
  </w:style>
  <w:style w:type="character" w:customStyle="1" w:styleId="24">
    <w:name w:val="标题 3 Char"/>
    <w:basedOn w:val="15"/>
    <w:link w:val="4"/>
    <w:qFormat/>
    <w:uiPriority w:val="9"/>
    <w:rPr>
      <w:b/>
      <w:bCs/>
      <w:sz w:val="32"/>
      <w:szCs w:val="32"/>
    </w:rPr>
  </w:style>
  <w:style w:type="character" w:styleId="25">
    <w:name w:val="Placeholder Text"/>
    <w:basedOn w:val="15"/>
    <w:semiHidden/>
    <w:qFormat/>
    <w:uiPriority w:val="99"/>
    <w:rPr>
      <w:color w:val="808080"/>
    </w:rPr>
  </w:style>
  <w:style w:type="character" w:customStyle="1" w:styleId="26">
    <w:name w:val="标题 1 Char"/>
    <w:basedOn w:val="15"/>
    <w:link w:val="2"/>
    <w:qFormat/>
    <w:uiPriority w:val="9"/>
    <w:rPr>
      <w:b/>
      <w:bCs/>
      <w:kern w:val="44"/>
      <w:sz w:val="44"/>
      <w:szCs w:val="44"/>
    </w:rPr>
  </w:style>
  <w:style w:type="paragraph" w:customStyle="1" w:styleId="2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28">
    <w:name w:val="标题 4 Char"/>
    <w:basedOn w:val="15"/>
    <w:link w:val="5"/>
    <w:qFormat/>
    <w:uiPriority w:val="9"/>
    <w:rPr>
      <w:rFonts w:asciiTheme="majorHAnsi" w:hAnsiTheme="majorHAnsi" w:eastAsiaTheme="majorEastAsia" w:cstheme="majorBidi"/>
      <w:b/>
      <w:bCs/>
      <w:sz w:val="28"/>
      <w:szCs w:val="28"/>
    </w:rPr>
  </w:style>
  <w:style w:type="character" w:customStyle="1" w:styleId="29">
    <w:name w:val="批注框文本 Char"/>
    <w:basedOn w:val="15"/>
    <w:link w:val="7"/>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44881E-D633-45B9-AFC2-DB55EAAF68F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23</Pages>
  <Words>8384</Words>
  <Characters>8836</Characters>
  <Lines>66</Lines>
  <Paragraphs>18</Paragraphs>
  <TotalTime>3</TotalTime>
  <ScaleCrop>false</ScaleCrop>
  <LinksUpToDate>false</LinksUpToDate>
  <CharactersWithSpaces>8935</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wq</cp:lastModifiedBy>
  <dcterms:modified xsi:type="dcterms:W3CDTF">2023-08-11T03:55:02Z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084CAF2CB97144A1A7FA8B55E0130490</vt:lpwstr>
  </property>
</Properties>
</file>